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eastAsia="隶书"/>
          <w:color w:val="000000"/>
          <w:sz w:val="44"/>
          <w:szCs w:val="44"/>
        </w:rPr>
      </w:pPr>
      <w:r>
        <w:rPr>
          <w:rFonts w:hint="eastAsia" w:eastAsia="隶书"/>
          <w:color w:val="000000"/>
          <w:sz w:val="44"/>
          <w:szCs w:val="44"/>
        </w:rPr>
        <w:t>附件</w:t>
      </w:r>
      <w:r>
        <w:rPr>
          <w:rFonts w:eastAsia="隶书"/>
          <w:color w:val="000000"/>
          <w:sz w:val="44"/>
          <w:szCs w:val="44"/>
        </w:rPr>
        <w:t>4</w:t>
      </w:r>
      <w:r>
        <w:rPr>
          <w:rFonts w:hint="eastAsia" w:eastAsia="隶书"/>
          <w:color w:val="000000"/>
          <w:sz w:val="44"/>
          <w:szCs w:val="44"/>
        </w:rPr>
        <w:t>：</w:t>
      </w:r>
    </w:p>
    <w:p>
      <w:pPr>
        <w:ind w:firstLine="880"/>
        <w:jc w:val="center"/>
        <w:rPr>
          <w:rFonts w:eastAsia="黑体"/>
          <w:color w:val="000000"/>
          <w:sz w:val="44"/>
          <w:szCs w:val="44"/>
        </w:rPr>
      </w:pPr>
    </w:p>
    <w:p>
      <w:pPr>
        <w:ind w:firstLine="880"/>
        <w:jc w:val="center"/>
        <w:rPr>
          <w:rFonts w:eastAsia="黑体"/>
          <w:color w:val="000000"/>
          <w:sz w:val="44"/>
          <w:szCs w:val="44"/>
        </w:rPr>
      </w:pPr>
    </w:p>
    <w:p>
      <w:pPr>
        <w:ind w:firstLine="880"/>
        <w:jc w:val="center"/>
        <w:rPr>
          <w:rFonts w:eastAsia="黑体"/>
          <w:color w:val="000000"/>
          <w:sz w:val="44"/>
          <w:szCs w:val="44"/>
        </w:rPr>
      </w:pPr>
    </w:p>
    <w:p>
      <w:pPr>
        <w:adjustRightInd w:val="0"/>
        <w:snapToGrid w:val="0"/>
        <w:ind w:firstLine="0" w:firstLineChars="0"/>
        <w:jc w:val="center"/>
        <w:rPr>
          <w:rFonts w:eastAsia="黑体"/>
          <w:color w:val="000000"/>
          <w:sz w:val="44"/>
          <w:szCs w:val="44"/>
        </w:rPr>
      </w:pPr>
      <w:r>
        <w:rPr>
          <w:rFonts w:hint="eastAsia" w:eastAsia="黑体"/>
          <w:color w:val="000000"/>
          <w:sz w:val="44"/>
          <w:szCs w:val="44"/>
        </w:rPr>
        <w:t>上海市建设工程施工合同编制中涉及</w:t>
      </w:r>
    </w:p>
    <w:p>
      <w:pPr>
        <w:adjustRightInd w:val="0"/>
        <w:snapToGrid w:val="0"/>
        <w:ind w:firstLine="0" w:firstLineChars="0"/>
        <w:jc w:val="center"/>
        <w:rPr>
          <w:rFonts w:eastAsia="黑体"/>
          <w:color w:val="000000"/>
          <w:sz w:val="44"/>
          <w:szCs w:val="44"/>
        </w:rPr>
      </w:pPr>
      <w:r>
        <w:rPr>
          <w:rFonts w:hint="eastAsia" w:eastAsia="黑体"/>
          <w:color w:val="000000"/>
          <w:sz w:val="44"/>
          <w:szCs w:val="44"/>
        </w:rPr>
        <w:t>建筑信息模型技术服务</w:t>
      </w:r>
    </w:p>
    <w:p>
      <w:pPr>
        <w:adjustRightInd w:val="0"/>
        <w:snapToGrid w:val="0"/>
        <w:ind w:firstLine="0" w:firstLineChars="0"/>
        <w:jc w:val="center"/>
        <w:rPr>
          <w:rFonts w:eastAsia="黑体"/>
          <w:color w:val="000000"/>
          <w:sz w:val="44"/>
          <w:szCs w:val="44"/>
        </w:rPr>
      </w:pPr>
      <w:r>
        <w:rPr>
          <w:rFonts w:hint="eastAsia" w:eastAsia="黑体"/>
          <w:color w:val="000000"/>
          <w:sz w:val="44"/>
          <w:szCs w:val="44"/>
        </w:rPr>
        <w:t>的补充示范条款</w:t>
      </w:r>
    </w:p>
    <w:p>
      <w:pPr>
        <w:adjustRightInd w:val="0"/>
        <w:snapToGrid w:val="0"/>
        <w:ind w:firstLine="0" w:firstLineChars="0"/>
        <w:jc w:val="center"/>
        <w:rPr>
          <w:rFonts w:eastAsia="黑体"/>
          <w:color w:val="000000"/>
          <w:sz w:val="44"/>
          <w:szCs w:val="44"/>
        </w:rPr>
      </w:pPr>
      <w:r>
        <w:rPr>
          <w:rFonts w:hint="eastAsia" w:eastAsia="黑体"/>
          <w:color w:val="000000"/>
          <w:sz w:val="44"/>
          <w:szCs w:val="44"/>
        </w:rPr>
        <w:t>（2017版）</w:t>
      </w:r>
    </w:p>
    <w:p>
      <w:pPr>
        <w:ind w:firstLine="880"/>
        <w:jc w:val="center"/>
        <w:rPr>
          <w:rFonts w:eastAsia="黑体"/>
          <w:color w:val="000000"/>
          <w:sz w:val="44"/>
          <w:szCs w:val="44"/>
        </w:rPr>
      </w:pPr>
    </w:p>
    <w:p>
      <w:pPr>
        <w:ind w:firstLine="880"/>
        <w:jc w:val="center"/>
        <w:rPr>
          <w:rFonts w:eastAsia="黑体"/>
          <w:color w:val="000000"/>
          <w:sz w:val="44"/>
          <w:szCs w:val="44"/>
        </w:rPr>
      </w:pPr>
    </w:p>
    <w:p>
      <w:pPr>
        <w:ind w:firstLine="880"/>
        <w:jc w:val="center"/>
        <w:rPr>
          <w:rFonts w:eastAsia="黑体"/>
          <w:color w:val="000000"/>
          <w:sz w:val="44"/>
          <w:szCs w:val="44"/>
        </w:rPr>
      </w:pPr>
    </w:p>
    <w:p>
      <w:pPr>
        <w:ind w:firstLine="880"/>
        <w:jc w:val="center"/>
        <w:rPr>
          <w:rFonts w:eastAsia="黑体"/>
          <w:color w:val="000000"/>
          <w:sz w:val="44"/>
          <w:szCs w:val="44"/>
        </w:rPr>
      </w:pPr>
    </w:p>
    <w:p>
      <w:pPr>
        <w:ind w:firstLine="880"/>
        <w:jc w:val="center"/>
        <w:rPr>
          <w:rFonts w:eastAsia="黑体"/>
          <w:color w:val="000000"/>
          <w:sz w:val="44"/>
          <w:szCs w:val="44"/>
        </w:rPr>
      </w:pPr>
    </w:p>
    <w:p>
      <w:pPr>
        <w:ind w:firstLine="880"/>
        <w:jc w:val="center"/>
        <w:rPr>
          <w:rFonts w:eastAsia="黑体"/>
          <w:color w:val="000000"/>
          <w:sz w:val="44"/>
          <w:szCs w:val="44"/>
        </w:rPr>
      </w:pPr>
    </w:p>
    <w:p>
      <w:pPr>
        <w:ind w:firstLine="880"/>
        <w:jc w:val="center"/>
        <w:rPr>
          <w:rFonts w:eastAsia="黑体"/>
          <w:color w:val="000000"/>
          <w:sz w:val="44"/>
          <w:szCs w:val="44"/>
        </w:rPr>
      </w:pPr>
    </w:p>
    <w:p>
      <w:pPr>
        <w:ind w:firstLine="880"/>
        <w:jc w:val="center"/>
        <w:rPr>
          <w:rFonts w:eastAsia="黑体"/>
          <w:color w:val="000000"/>
          <w:sz w:val="44"/>
          <w:szCs w:val="44"/>
        </w:rPr>
      </w:pPr>
    </w:p>
    <w:p>
      <w:pPr>
        <w:ind w:firstLine="880"/>
        <w:jc w:val="center"/>
        <w:rPr>
          <w:rFonts w:eastAsia="黑体"/>
          <w:color w:val="000000"/>
          <w:sz w:val="44"/>
          <w:szCs w:val="44"/>
        </w:rPr>
      </w:pPr>
    </w:p>
    <w:p>
      <w:pPr>
        <w:ind w:firstLine="880"/>
        <w:jc w:val="center"/>
        <w:rPr>
          <w:rFonts w:eastAsia="黑体"/>
          <w:color w:val="000000"/>
          <w:sz w:val="44"/>
          <w:szCs w:val="44"/>
        </w:rPr>
      </w:pPr>
    </w:p>
    <w:p>
      <w:pPr>
        <w:ind w:firstLine="0" w:firstLineChars="0"/>
        <w:jc w:val="center"/>
        <w:rPr>
          <w:rFonts w:eastAsiaTheme="minorEastAsia"/>
          <w:sz w:val="32"/>
          <w:szCs w:val="32"/>
        </w:rPr>
      </w:pPr>
      <w:r>
        <w:rPr>
          <w:rFonts w:hint="eastAsia" w:eastAsiaTheme="minorEastAsia"/>
          <w:sz w:val="32"/>
          <w:szCs w:val="32"/>
        </w:rPr>
        <w:t>2017年1月</w:t>
      </w:r>
      <w:r>
        <w:rPr>
          <w:rFonts w:hint="eastAsia" w:eastAsiaTheme="minorEastAsia"/>
          <w:sz w:val="32"/>
          <w:szCs w:val="32"/>
          <w:lang w:val="en-US" w:eastAsia="zh-CN"/>
        </w:rPr>
        <w:t>24</w:t>
      </w:r>
      <w:bookmarkStart w:id="116" w:name="_GoBack"/>
      <w:bookmarkEnd w:id="116"/>
      <w:r>
        <w:rPr>
          <w:rFonts w:hint="eastAsia" w:eastAsiaTheme="minorEastAsia"/>
          <w:sz w:val="32"/>
          <w:szCs w:val="32"/>
        </w:rPr>
        <w:t>日</w:t>
      </w:r>
    </w:p>
    <w:p>
      <w:pPr>
        <w:ind w:firstLine="880"/>
        <w:jc w:val="center"/>
        <w:rPr>
          <w:rFonts w:eastAsia="黑体"/>
          <w:color w:val="000000"/>
          <w:sz w:val="44"/>
          <w:szCs w:val="44"/>
        </w:rPr>
      </w:pPr>
    </w:p>
    <w:p>
      <w:pPr>
        <w:pStyle w:val="2"/>
        <w:ind w:firstLine="0" w:firstLineChars="0"/>
        <w:rPr>
          <w:rFonts w:cs="Times New Roman"/>
          <w:kern w:val="44"/>
          <w:szCs w:val="44"/>
        </w:rPr>
      </w:pPr>
      <w:r>
        <w:rPr>
          <w:rFonts w:hint="eastAsia" w:cs="Times New Roman"/>
          <w:kern w:val="44"/>
          <w:szCs w:val="44"/>
        </w:rPr>
        <w:t>使用说明</w:t>
      </w:r>
    </w:p>
    <w:p>
      <w:pPr>
        <w:ind w:firstLine="480"/>
      </w:pPr>
      <w:r>
        <w:rPr>
          <w:rFonts w:hint="eastAsia"/>
        </w:rPr>
        <w:t>为做好施工阶段建筑信息模型（以下简称BIM）技术应用，结合《建设工程施工合同（示范文本）》（GF-2013-0201）的具体条款和BIM技术服务要求，制定本补充示范条款，补充示范条款或原条款增加的内容用</w:t>
      </w:r>
      <w:r>
        <w:rPr>
          <w:rFonts w:hint="eastAsia"/>
          <w:b/>
          <w:i/>
          <w:u w:val="single"/>
        </w:rPr>
        <w:t>宋体倾斜加粗字体加下划线</w:t>
      </w:r>
      <w:r>
        <w:rPr>
          <w:rFonts w:hint="eastAsia"/>
        </w:rPr>
        <w:t>表示，具体条款使用说明如下：</w:t>
      </w:r>
    </w:p>
    <w:p>
      <w:pPr>
        <w:ind w:firstLine="482"/>
        <w:rPr>
          <w:b/>
          <w:szCs w:val="24"/>
        </w:rPr>
      </w:pPr>
      <w:r>
        <w:rPr>
          <w:rFonts w:hint="eastAsia"/>
          <w:b/>
          <w:szCs w:val="24"/>
        </w:rPr>
        <w:t>一、应用范围</w:t>
      </w:r>
    </w:p>
    <w:p>
      <w:pPr>
        <w:ind w:firstLine="480"/>
      </w:pPr>
      <w:r>
        <w:rPr>
          <w:rFonts w:hint="eastAsia"/>
        </w:rPr>
        <w:t>本补充示范条款是非强制性条款，适用于房屋建筑工程、土木工程、线路管道和设备安装工程、装修工程等建设工程的施工承发包活动中</w:t>
      </w:r>
      <w:r>
        <w:t>的</w:t>
      </w:r>
      <w:r>
        <w:rPr>
          <w:rFonts w:hint="eastAsia"/>
        </w:rPr>
        <w:t>BIM技术服务，合同当事人可结合建设工程具体情况，根据补充示范条款或原条款增加的内容签订建设工程施工合同（含BIM技术服务）或签订建设工程施工BIM技术服务补充协议，并按照法律法规规定和合同约定承担相应的法律责任及合同权利义务。</w:t>
      </w:r>
    </w:p>
    <w:p>
      <w:pPr>
        <w:ind w:firstLine="480"/>
        <w:rPr>
          <w:szCs w:val="24"/>
        </w:rPr>
      </w:pPr>
      <w:r>
        <w:rPr>
          <w:rFonts w:hint="eastAsia"/>
          <w:szCs w:val="24"/>
        </w:rPr>
        <w:t>承担房屋</w:t>
      </w:r>
      <w:r>
        <w:rPr>
          <w:szCs w:val="24"/>
        </w:rPr>
        <w:t>建筑工程</w:t>
      </w:r>
      <w:r>
        <w:rPr>
          <w:rFonts w:hint="eastAsia"/>
          <w:szCs w:val="24"/>
        </w:rPr>
        <w:t>设计、施工或运维全生命期BIM技术应用顾问服务的，应参考《上海市建筑信息模型技术应用咨询服务合同示范文本（</w:t>
      </w:r>
      <w:r>
        <w:rPr>
          <w:szCs w:val="24"/>
        </w:rPr>
        <w:t>2015</w:t>
      </w:r>
      <w:r>
        <w:rPr>
          <w:rFonts w:hint="eastAsia"/>
          <w:szCs w:val="24"/>
        </w:rPr>
        <w:t>版）》单独签订合同。</w:t>
      </w:r>
    </w:p>
    <w:p>
      <w:pPr>
        <w:ind w:firstLine="482"/>
        <w:rPr>
          <w:b/>
          <w:szCs w:val="24"/>
        </w:rPr>
      </w:pPr>
      <w:r>
        <w:rPr>
          <w:rFonts w:hint="eastAsia"/>
          <w:b/>
          <w:szCs w:val="24"/>
        </w:rPr>
        <w:t>二、应用方法</w:t>
      </w:r>
    </w:p>
    <w:p>
      <w:pPr>
        <w:ind w:firstLine="480"/>
      </w:pPr>
      <w:r>
        <w:rPr>
          <w:rFonts w:hint="eastAsia"/>
        </w:rPr>
        <w:t>（一）签订建设工程施工合同（含BIM技术服务）宜将BIM技术服务相关条款，按照建设</w:t>
      </w:r>
      <w:r>
        <w:t>工程</w:t>
      </w:r>
      <w:r>
        <w:rPr>
          <w:rFonts w:hint="eastAsia"/>
        </w:rPr>
        <w:t>施工合同整体目录写入相应的通用和专用合同条款中，形成完整的建设</w:t>
      </w:r>
      <w:r>
        <w:t>工程</w:t>
      </w:r>
      <w:r>
        <w:rPr>
          <w:rFonts w:hint="eastAsia"/>
        </w:rPr>
        <w:t>施工合同。针对不同的BIM服务内容可做相应取舍，也可增加示范条款外的条款内容。</w:t>
      </w:r>
    </w:p>
    <w:p>
      <w:pPr>
        <w:ind w:firstLine="480"/>
      </w:pPr>
      <w:r>
        <w:rPr>
          <w:rFonts w:hint="eastAsia"/>
        </w:rPr>
        <w:t>（二）建设</w:t>
      </w:r>
      <w:r>
        <w:t>工程</w:t>
      </w:r>
      <w:r>
        <w:rPr>
          <w:rFonts w:hint="eastAsia"/>
        </w:rPr>
        <w:t>施工合同已签订，需要签订BIM技术服务补充协议的，根据服务的内容和补充示范条款，按照协议的格式，做相应取舍或增加，重新组织形成完整的补充协议。</w:t>
      </w:r>
    </w:p>
    <w:p>
      <w:pPr>
        <w:ind w:firstLine="480"/>
      </w:pPr>
      <w:r>
        <w:rPr>
          <w:rFonts w:hint="eastAsia"/>
        </w:rPr>
        <w:t>（三）按照现行的合同文件和本补充条款，编制了《上海市建设工程施工合同示范文本（含BIM技术服务）》，供企业在编制项目招标文件时参考。</w:t>
      </w:r>
    </w:p>
    <w:p>
      <w:pPr>
        <w:ind w:firstLine="482"/>
        <w:rPr>
          <w:b/>
          <w:szCs w:val="24"/>
        </w:rPr>
      </w:pPr>
      <w:r>
        <w:rPr>
          <w:rFonts w:hint="eastAsia"/>
          <w:b/>
          <w:szCs w:val="24"/>
        </w:rPr>
        <w:t>三、服务费用计算</w:t>
      </w:r>
    </w:p>
    <w:p>
      <w:pPr>
        <w:ind w:firstLine="480"/>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1"/>
          <w:cols w:space="425" w:num="1"/>
          <w:docGrid w:type="linesAndChars" w:linePitch="312" w:charSpace="0"/>
        </w:sectPr>
      </w:pPr>
      <w:r>
        <w:rPr>
          <w:rFonts w:hint="eastAsia"/>
        </w:rPr>
        <w:t>BIM建模和应用的服务费用宜单列计算，可以总价包干或固定单价的方式计取，计费中涉及项目使用的建模/计算软件和硬件费用宜单列计算。</w:t>
      </w:r>
    </w:p>
    <w:p>
      <w:pPr>
        <w:pStyle w:val="2"/>
        <w:ind w:firstLine="0" w:firstLineChars="0"/>
        <w:jc w:val="left"/>
        <w:rPr>
          <w:rFonts w:cs="Times New Roman"/>
          <w:b w:val="0"/>
        </w:rPr>
      </w:pPr>
      <w:r>
        <w:rPr>
          <w:rFonts w:hint="eastAsia" w:cs="Times New Roman"/>
          <w:b w:val="0"/>
        </w:rPr>
        <w:t>一、补充示范条款内容说明</w:t>
      </w:r>
    </w:p>
    <w:p>
      <w:pPr>
        <w:widowControl/>
        <w:ind w:firstLine="638" w:firstLineChars="266"/>
        <w:jc w:val="left"/>
        <w:rPr>
          <w:rFonts w:ascii="黑体" w:hAnsi="黑体" w:eastAsia="黑体"/>
          <w:kern w:val="0"/>
          <w:szCs w:val="24"/>
        </w:rPr>
      </w:pPr>
      <w:r>
        <w:rPr>
          <w:rFonts w:hint="eastAsia" w:ascii="仿宋" w:hAnsi="仿宋"/>
          <w:kern w:val="0"/>
          <w:szCs w:val="24"/>
        </w:rPr>
        <w:t>主要从</w:t>
      </w:r>
      <w:r>
        <w:rPr>
          <w:rFonts w:ascii="仿宋" w:hAnsi="仿宋"/>
          <w:kern w:val="0"/>
          <w:szCs w:val="24"/>
        </w:rPr>
        <w:t>BIM技术服务</w:t>
      </w:r>
      <w:r>
        <w:rPr>
          <w:rFonts w:hint="eastAsia" w:ascii="仿宋" w:hAnsi="仿宋"/>
          <w:kern w:val="0"/>
          <w:szCs w:val="24"/>
        </w:rPr>
        <w:t>内容、企业和人员要求、</w:t>
      </w:r>
      <w:r>
        <w:rPr>
          <w:rFonts w:ascii="仿宋" w:hAnsi="仿宋"/>
          <w:kern w:val="0"/>
          <w:szCs w:val="24"/>
        </w:rPr>
        <w:t>BIM技术服务费</w:t>
      </w:r>
      <w:r>
        <w:rPr>
          <w:rFonts w:hint="eastAsia" w:ascii="仿宋" w:hAnsi="仿宋"/>
          <w:kern w:val="0"/>
          <w:szCs w:val="24"/>
        </w:rPr>
        <w:t>用等方面进行补充。</w:t>
      </w:r>
    </w:p>
    <w:p>
      <w:pPr>
        <w:widowControl/>
        <w:ind w:firstLine="562"/>
        <w:jc w:val="left"/>
        <w:rPr>
          <w:rFonts w:ascii="仿宋" w:hAnsi="仿宋"/>
          <w:b/>
          <w:kern w:val="0"/>
          <w:sz w:val="28"/>
          <w:szCs w:val="30"/>
        </w:rPr>
      </w:pPr>
      <w:r>
        <w:rPr>
          <w:rFonts w:hint="eastAsia" w:ascii="仿宋" w:hAnsi="仿宋"/>
          <w:b/>
          <w:kern w:val="0"/>
          <w:sz w:val="28"/>
          <w:szCs w:val="30"/>
        </w:rPr>
        <w:t>（一）合同协议书</w:t>
      </w:r>
    </w:p>
    <w:p>
      <w:pPr>
        <w:pStyle w:val="28"/>
        <w:widowControl/>
        <w:numPr>
          <w:ilvl w:val="0"/>
          <w:numId w:val="1"/>
        </w:numPr>
        <w:ind w:firstLineChars="0"/>
        <w:jc w:val="left"/>
        <w:rPr>
          <w:rFonts w:ascii="仿宋" w:hAnsi="仿宋"/>
          <w:kern w:val="0"/>
          <w:szCs w:val="24"/>
        </w:rPr>
      </w:pPr>
      <w:r>
        <w:rPr>
          <w:rFonts w:hint="eastAsia" w:ascii="仿宋" w:hAnsi="仿宋"/>
          <w:kern w:val="0"/>
          <w:szCs w:val="24"/>
        </w:rPr>
        <w:t>“工程概况”中增加BIM应用服务描述。</w:t>
      </w:r>
    </w:p>
    <w:p>
      <w:pPr>
        <w:pStyle w:val="28"/>
        <w:widowControl/>
        <w:numPr>
          <w:ilvl w:val="0"/>
          <w:numId w:val="1"/>
        </w:numPr>
        <w:ind w:firstLineChars="0"/>
        <w:jc w:val="left"/>
        <w:rPr>
          <w:rFonts w:ascii="仿宋" w:hAnsi="仿宋"/>
          <w:kern w:val="0"/>
          <w:szCs w:val="24"/>
        </w:rPr>
      </w:pPr>
      <w:r>
        <w:rPr>
          <w:rFonts w:hint="eastAsia" w:ascii="仿宋" w:hAnsi="仿宋"/>
          <w:kern w:val="0"/>
          <w:szCs w:val="24"/>
        </w:rPr>
        <w:t>“签约合同价与合同价格形式”中增加BIM技术服务</w:t>
      </w:r>
      <w:r>
        <w:rPr>
          <w:rFonts w:ascii="仿宋" w:hAnsi="仿宋"/>
          <w:kern w:val="0"/>
          <w:szCs w:val="24"/>
        </w:rPr>
        <w:t>费用</w:t>
      </w:r>
      <w:r>
        <w:rPr>
          <w:rFonts w:hint="eastAsia" w:ascii="仿宋" w:hAnsi="仿宋"/>
          <w:kern w:val="0"/>
          <w:szCs w:val="24"/>
        </w:rPr>
        <w:t>描述。</w:t>
      </w:r>
    </w:p>
    <w:p>
      <w:pPr>
        <w:pStyle w:val="28"/>
        <w:widowControl/>
        <w:numPr>
          <w:ilvl w:val="0"/>
          <w:numId w:val="1"/>
        </w:numPr>
        <w:ind w:firstLineChars="0"/>
        <w:jc w:val="left"/>
        <w:rPr>
          <w:rFonts w:ascii="仿宋" w:hAnsi="仿宋"/>
          <w:kern w:val="0"/>
          <w:szCs w:val="24"/>
        </w:rPr>
      </w:pPr>
      <w:r>
        <w:rPr>
          <w:rFonts w:hint="eastAsia" w:ascii="仿宋" w:hAnsi="仿宋"/>
          <w:kern w:val="0"/>
          <w:szCs w:val="24"/>
        </w:rPr>
        <w:t>“合同文件构成”中增加BIM模型描述。</w:t>
      </w:r>
    </w:p>
    <w:p>
      <w:pPr>
        <w:widowControl/>
        <w:ind w:firstLine="562"/>
        <w:jc w:val="left"/>
        <w:rPr>
          <w:rFonts w:ascii="仿宋" w:hAnsi="仿宋"/>
          <w:b/>
          <w:kern w:val="0"/>
          <w:sz w:val="28"/>
          <w:szCs w:val="30"/>
        </w:rPr>
      </w:pPr>
      <w:r>
        <w:rPr>
          <w:rFonts w:hint="eastAsia" w:ascii="仿宋" w:hAnsi="仿宋"/>
          <w:b/>
          <w:kern w:val="0"/>
          <w:sz w:val="28"/>
          <w:szCs w:val="30"/>
        </w:rPr>
        <w:t>（二）通用合同</w:t>
      </w:r>
      <w:r>
        <w:rPr>
          <w:rFonts w:ascii="仿宋" w:hAnsi="仿宋"/>
          <w:b/>
          <w:kern w:val="0"/>
          <w:sz w:val="28"/>
          <w:szCs w:val="30"/>
        </w:rPr>
        <w:t>条款</w:t>
      </w:r>
    </w:p>
    <w:p>
      <w:pPr>
        <w:pStyle w:val="28"/>
        <w:widowControl/>
        <w:numPr>
          <w:ilvl w:val="0"/>
          <w:numId w:val="2"/>
        </w:numPr>
        <w:ind w:firstLineChars="0"/>
        <w:jc w:val="left"/>
        <w:rPr>
          <w:rFonts w:ascii="仿宋" w:hAnsi="仿宋"/>
          <w:kern w:val="0"/>
          <w:szCs w:val="24"/>
        </w:rPr>
      </w:pPr>
      <w:r>
        <w:rPr>
          <w:rFonts w:hint="eastAsia" w:ascii="仿宋" w:hAnsi="仿宋"/>
          <w:kern w:val="0"/>
          <w:szCs w:val="24"/>
        </w:rPr>
        <w:t xml:space="preserve"> “一般约定”中</w:t>
      </w:r>
      <w:r>
        <w:rPr>
          <w:rFonts w:ascii="仿宋" w:hAnsi="仿宋"/>
          <w:kern w:val="0"/>
          <w:szCs w:val="24"/>
        </w:rPr>
        <w:t>增加</w:t>
      </w:r>
      <w:r>
        <w:rPr>
          <w:rFonts w:hint="eastAsia" w:ascii="仿宋" w:hAnsi="仿宋"/>
          <w:kern w:val="0"/>
          <w:szCs w:val="24"/>
        </w:rPr>
        <w:t>BIM</w:t>
      </w:r>
      <w:r>
        <w:rPr>
          <w:rFonts w:ascii="仿宋" w:hAnsi="仿宋"/>
          <w:kern w:val="0"/>
          <w:szCs w:val="24"/>
        </w:rPr>
        <w:t>模型</w:t>
      </w:r>
      <w:r>
        <w:rPr>
          <w:rFonts w:hint="eastAsia" w:ascii="仿宋" w:hAnsi="仿宋"/>
          <w:kern w:val="0"/>
          <w:szCs w:val="24"/>
        </w:rPr>
        <w:t>描述</w:t>
      </w:r>
      <w:r>
        <w:rPr>
          <w:rFonts w:ascii="仿宋" w:hAnsi="仿宋"/>
          <w:kern w:val="0"/>
          <w:szCs w:val="24"/>
        </w:rPr>
        <w:t>。</w:t>
      </w:r>
    </w:p>
    <w:p>
      <w:pPr>
        <w:pStyle w:val="28"/>
        <w:widowControl/>
        <w:numPr>
          <w:ilvl w:val="0"/>
          <w:numId w:val="2"/>
        </w:numPr>
        <w:ind w:firstLineChars="0"/>
        <w:jc w:val="left"/>
        <w:rPr>
          <w:rFonts w:ascii="仿宋" w:hAnsi="仿宋"/>
          <w:kern w:val="0"/>
          <w:szCs w:val="24"/>
        </w:rPr>
      </w:pPr>
      <w:r>
        <w:rPr>
          <w:rFonts w:hint="eastAsia" w:ascii="仿宋" w:hAnsi="仿宋"/>
          <w:kern w:val="0"/>
          <w:szCs w:val="24"/>
        </w:rPr>
        <w:t>“安全文明施工与环境保护” 中增加运用BIM技术进行专项施工方案模拟</w:t>
      </w:r>
      <w:r>
        <w:rPr>
          <w:rFonts w:ascii="仿宋" w:hAnsi="仿宋"/>
          <w:kern w:val="0"/>
          <w:szCs w:val="24"/>
        </w:rPr>
        <w:t>描述。</w:t>
      </w:r>
    </w:p>
    <w:p>
      <w:pPr>
        <w:pStyle w:val="28"/>
        <w:widowControl/>
        <w:numPr>
          <w:ilvl w:val="0"/>
          <w:numId w:val="2"/>
        </w:numPr>
        <w:ind w:firstLineChars="0"/>
        <w:jc w:val="left"/>
        <w:rPr>
          <w:rFonts w:ascii="仿宋" w:hAnsi="仿宋"/>
          <w:kern w:val="0"/>
          <w:szCs w:val="24"/>
        </w:rPr>
      </w:pPr>
      <w:r>
        <w:rPr>
          <w:rFonts w:hint="eastAsia" w:ascii="仿宋" w:hAnsi="仿宋"/>
          <w:kern w:val="0"/>
          <w:szCs w:val="24"/>
        </w:rPr>
        <w:t>“工期和进度”中</w:t>
      </w:r>
      <w:r>
        <w:rPr>
          <w:rFonts w:ascii="仿宋" w:hAnsi="仿宋"/>
          <w:kern w:val="0"/>
          <w:szCs w:val="24"/>
        </w:rPr>
        <w:t>增加</w:t>
      </w:r>
      <w:r>
        <w:rPr>
          <w:rFonts w:hint="eastAsia" w:ascii="仿宋" w:hAnsi="仿宋"/>
          <w:kern w:val="0"/>
          <w:szCs w:val="24"/>
        </w:rPr>
        <w:t>基于BIM的4D进度模拟计划、BIM工作实施方案及软硬件配置描述</w:t>
      </w:r>
      <w:r>
        <w:rPr>
          <w:rFonts w:ascii="仿宋" w:hAnsi="仿宋"/>
          <w:kern w:val="0"/>
          <w:szCs w:val="24"/>
        </w:rPr>
        <w:t>。</w:t>
      </w:r>
    </w:p>
    <w:p>
      <w:pPr>
        <w:pStyle w:val="28"/>
        <w:widowControl/>
        <w:numPr>
          <w:ilvl w:val="0"/>
          <w:numId w:val="2"/>
        </w:numPr>
        <w:ind w:firstLineChars="0"/>
        <w:jc w:val="left"/>
        <w:rPr>
          <w:rFonts w:ascii="仿宋" w:hAnsi="仿宋"/>
          <w:kern w:val="0"/>
          <w:szCs w:val="24"/>
        </w:rPr>
      </w:pPr>
      <w:r>
        <w:rPr>
          <w:rFonts w:ascii="仿宋" w:hAnsi="仿宋"/>
          <w:kern w:val="0"/>
          <w:szCs w:val="24"/>
        </w:rPr>
        <w:t>“</w:t>
      </w:r>
      <w:r>
        <w:rPr>
          <w:rFonts w:hint="eastAsia" w:ascii="仿宋" w:hAnsi="仿宋"/>
          <w:kern w:val="0"/>
          <w:szCs w:val="24"/>
        </w:rPr>
        <w:t>材料与设备</w:t>
      </w:r>
      <w:r>
        <w:rPr>
          <w:rFonts w:ascii="仿宋" w:hAnsi="仿宋"/>
          <w:kern w:val="0"/>
          <w:szCs w:val="24"/>
        </w:rPr>
        <w:t>”</w:t>
      </w:r>
      <w:r>
        <w:rPr>
          <w:rFonts w:hint="eastAsia" w:ascii="仿宋" w:hAnsi="仿宋"/>
          <w:kern w:val="0"/>
          <w:szCs w:val="24"/>
        </w:rPr>
        <w:t>技术标</w:t>
      </w:r>
      <w:r>
        <w:rPr>
          <w:rFonts w:ascii="仿宋" w:hAnsi="仿宋"/>
          <w:kern w:val="0"/>
          <w:szCs w:val="24"/>
        </w:rPr>
        <w:t>中增加</w:t>
      </w:r>
      <w:r>
        <w:rPr>
          <w:rFonts w:hint="eastAsia" w:ascii="仿宋" w:hAnsi="仿宋"/>
          <w:kern w:val="0"/>
          <w:szCs w:val="24"/>
        </w:rPr>
        <w:t>BIM模型版本号描述。</w:t>
      </w:r>
    </w:p>
    <w:p>
      <w:pPr>
        <w:pStyle w:val="28"/>
        <w:widowControl/>
        <w:numPr>
          <w:ilvl w:val="0"/>
          <w:numId w:val="2"/>
        </w:numPr>
        <w:ind w:firstLineChars="0"/>
        <w:jc w:val="left"/>
        <w:rPr>
          <w:rFonts w:ascii="仿宋" w:hAnsi="仿宋"/>
          <w:kern w:val="0"/>
          <w:szCs w:val="24"/>
        </w:rPr>
      </w:pPr>
      <w:r>
        <w:rPr>
          <w:rFonts w:ascii="仿宋" w:hAnsi="仿宋"/>
          <w:kern w:val="0"/>
          <w:szCs w:val="24"/>
        </w:rPr>
        <w:t>“</w:t>
      </w:r>
      <w:r>
        <w:rPr>
          <w:rFonts w:hint="eastAsia" w:ascii="仿宋" w:hAnsi="仿宋"/>
          <w:kern w:val="0"/>
          <w:szCs w:val="24"/>
        </w:rPr>
        <w:t>变更</w:t>
      </w:r>
      <w:r>
        <w:rPr>
          <w:rFonts w:ascii="仿宋" w:hAnsi="仿宋"/>
          <w:kern w:val="0"/>
          <w:szCs w:val="24"/>
        </w:rPr>
        <w:t>”中增加</w:t>
      </w:r>
      <w:r>
        <w:rPr>
          <w:rFonts w:hint="eastAsia" w:ascii="仿宋" w:hAnsi="仿宋"/>
          <w:kern w:val="0"/>
          <w:szCs w:val="24"/>
        </w:rPr>
        <w:t>BIM模型、基于BIM的4D进度模拟计划的</w:t>
      </w:r>
      <w:r>
        <w:rPr>
          <w:rFonts w:ascii="仿宋" w:hAnsi="仿宋"/>
          <w:kern w:val="0"/>
          <w:szCs w:val="24"/>
        </w:rPr>
        <w:t>变更</w:t>
      </w:r>
      <w:r>
        <w:rPr>
          <w:rFonts w:hint="eastAsia" w:ascii="仿宋" w:hAnsi="仿宋"/>
          <w:kern w:val="0"/>
          <w:szCs w:val="24"/>
        </w:rPr>
        <w:t>描述。</w:t>
      </w:r>
    </w:p>
    <w:p>
      <w:pPr>
        <w:pStyle w:val="28"/>
        <w:widowControl/>
        <w:numPr>
          <w:ilvl w:val="0"/>
          <w:numId w:val="2"/>
        </w:numPr>
        <w:ind w:firstLineChars="0"/>
        <w:jc w:val="left"/>
        <w:rPr>
          <w:rFonts w:ascii="仿宋" w:hAnsi="仿宋"/>
          <w:kern w:val="0"/>
          <w:szCs w:val="24"/>
        </w:rPr>
      </w:pPr>
      <w:r>
        <w:rPr>
          <w:rFonts w:ascii="仿宋" w:hAnsi="仿宋"/>
          <w:kern w:val="0"/>
          <w:szCs w:val="24"/>
        </w:rPr>
        <w:t>“</w:t>
      </w:r>
      <w:r>
        <w:rPr>
          <w:rFonts w:hint="eastAsia" w:ascii="仿宋" w:hAnsi="仿宋"/>
          <w:kern w:val="0"/>
          <w:szCs w:val="24"/>
        </w:rPr>
        <w:t>合同价格、计量与支付</w:t>
      </w:r>
      <w:r>
        <w:rPr>
          <w:rFonts w:ascii="仿宋" w:hAnsi="仿宋"/>
          <w:kern w:val="0"/>
          <w:szCs w:val="24"/>
        </w:rPr>
        <w:t>”</w:t>
      </w:r>
      <w:r>
        <w:rPr>
          <w:rFonts w:hint="eastAsia" w:ascii="仿宋" w:hAnsi="仿宋"/>
          <w:kern w:val="0"/>
          <w:szCs w:val="24"/>
        </w:rPr>
        <w:t>中</w:t>
      </w:r>
      <w:r>
        <w:rPr>
          <w:rFonts w:ascii="仿宋" w:hAnsi="仿宋"/>
          <w:kern w:val="0"/>
          <w:szCs w:val="24"/>
        </w:rPr>
        <w:t>增加</w:t>
      </w:r>
      <w:r>
        <w:rPr>
          <w:rFonts w:hint="eastAsia" w:ascii="仿宋" w:hAnsi="仿宋"/>
          <w:kern w:val="0"/>
          <w:szCs w:val="24"/>
        </w:rPr>
        <w:t>BIM模型、基于BIM的4D进度模拟计划的计量</w:t>
      </w:r>
      <w:r>
        <w:rPr>
          <w:rFonts w:ascii="仿宋" w:hAnsi="仿宋"/>
          <w:kern w:val="0"/>
          <w:szCs w:val="24"/>
        </w:rPr>
        <w:t>和支付</w:t>
      </w:r>
      <w:r>
        <w:rPr>
          <w:rFonts w:hint="eastAsia" w:ascii="仿宋" w:hAnsi="仿宋"/>
          <w:kern w:val="0"/>
          <w:szCs w:val="24"/>
        </w:rPr>
        <w:t>描述</w:t>
      </w:r>
      <w:r>
        <w:rPr>
          <w:rFonts w:ascii="仿宋" w:hAnsi="仿宋"/>
          <w:kern w:val="0"/>
          <w:szCs w:val="24"/>
        </w:rPr>
        <w:t>。</w:t>
      </w:r>
    </w:p>
    <w:p>
      <w:pPr>
        <w:widowControl/>
        <w:ind w:firstLine="562"/>
        <w:jc w:val="left"/>
        <w:rPr>
          <w:rFonts w:ascii="仿宋" w:hAnsi="仿宋"/>
          <w:b/>
          <w:kern w:val="0"/>
          <w:sz w:val="28"/>
          <w:szCs w:val="30"/>
        </w:rPr>
      </w:pPr>
      <w:r>
        <w:rPr>
          <w:rFonts w:hint="eastAsia" w:ascii="仿宋" w:hAnsi="仿宋"/>
          <w:b/>
          <w:kern w:val="0"/>
          <w:sz w:val="28"/>
          <w:szCs w:val="30"/>
        </w:rPr>
        <w:t>（三）专用合同</w:t>
      </w:r>
      <w:r>
        <w:rPr>
          <w:rFonts w:ascii="仿宋" w:hAnsi="仿宋"/>
          <w:b/>
          <w:kern w:val="0"/>
          <w:sz w:val="28"/>
          <w:szCs w:val="30"/>
        </w:rPr>
        <w:t>条款</w:t>
      </w:r>
    </w:p>
    <w:p>
      <w:pPr>
        <w:pStyle w:val="28"/>
        <w:widowControl/>
        <w:numPr>
          <w:ilvl w:val="0"/>
          <w:numId w:val="3"/>
        </w:numPr>
        <w:ind w:firstLineChars="0"/>
        <w:jc w:val="left"/>
        <w:rPr>
          <w:rFonts w:ascii="仿宋" w:hAnsi="仿宋"/>
          <w:kern w:val="0"/>
          <w:szCs w:val="24"/>
        </w:rPr>
      </w:pPr>
      <w:r>
        <w:rPr>
          <w:rFonts w:hint="eastAsia" w:ascii="仿宋" w:hAnsi="仿宋"/>
          <w:kern w:val="0"/>
          <w:szCs w:val="24"/>
        </w:rPr>
        <w:t>“一般约定”的图纸和承包人文件、知识产权中</w:t>
      </w:r>
      <w:r>
        <w:rPr>
          <w:rFonts w:ascii="仿宋" w:hAnsi="仿宋"/>
          <w:kern w:val="0"/>
          <w:szCs w:val="24"/>
        </w:rPr>
        <w:t>增加</w:t>
      </w:r>
      <w:r>
        <w:rPr>
          <w:rFonts w:hint="eastAsia" w:ascii="仿宋" w:hAnsi="仿宋"/>
          <w:kern w:val="0"/>
          <w:szCs w:val="24"/>
        </w:rPr>
        <w:t>BIM</w:t>
      </w:r>
      <w:r>
        <w:rPr>
          <w:rFonts w:ascii="仿宋" w:hAnsi="仿宋"/>
          <w:kern w:val="0"/>
          <w:szCs w:val="24"/>
        </w:rPr>
        <w:t>模型</w:t>
      </w:r>
      <w:r>
        <w:rPr>
          <w:rFonts w:hint="eastAsia" w:ascii="仿宋" w:hAnsi="仿宋"/>
          <w:kern w:val="0"/>
          <w:szCs w:val="24"/>
        </w:rPr>
        <w:t>描述</w:t>
      </w:r>
      <w:r>
        <w:rPr>
          <w:rFonts w:ascii="仿宋" w:hAnsi="仿宋"/>
          <w:kern w:val="0"/>
          <w:szCs w:val="24"/>
        </w:rPr>
        <w:t>。</w:t>
      </w:r>
    </w:p>
    <w:p>
      <w:pPr>
        <w:pStyle w:val="28"/>
        <w:widowControl/>
        <w:numPr>
          <w:ilvl w:val="0"/>
          <w:numId w:val="3"/>
        </w:numPr>
        <w:ind w:firstLineChars="0"/>
        <w:jc w:val="left"/>
        <w:rPr>
          <w:rFonts w:ascii="仿宋" w:hAnsi="仿宋"/>
          <w:kern w:val="0"/>
          <w:szCs w:val="24"/>
        </w:rPr>
      </w:pPr>
      <w:r>
        <w:rPr>
          <w:rFonts w:hint="eastAsia" w:ascii="仿宋" w:hAnsi="仿宋"/>
          <w:kern w:val="0"/>
          <w:szCs w:val="24"/>
        </w:rPr>
        <w:t xml:space="preserve"> “工期和进度”中</w:t>
      </w:r>
      <w:r>
        <w:rPr>
          <w:rFonts w:ascii="仿宋" w:hAnsi="仿宋"/>
          <w:kern w:val="0"/>
          <w:szCs w:val="24"/>
        </w:rPr>
        <w:t>增加</w:t>
      </w:r>
      <w:r>
        <w:rPr>
          <w:rFonts w:hint="eastAsia" w:ascii="仿宋" w:hAnsi="仿宋"/>
          <w:kern w:val="0"/>
          <w:szCs w:val="24"/>
        </w:rPr>
        <w:t>基于BIM的4D进度模拟计划、BIM工作实施方案及软硬件配置描述</w:t>
      </w:r>
      <w:r>
        <w:rPr>
          <w:rFonts w:ascii="仿宋" w:hAnsi="仿宋"/>
          <w:kern w:val="0"/>
          <w:szCs w:val="24"/>
        </w:rPr>
        <w:t>。</w:t>
      </w:r>
    </w:p>
    <w:p>
      <w:pPr>
        <w:pStyle w:val="28"/>
        <w:widowControl/>
        <w:numPr>
          <w:ilvl w:val="0"/>
          <w:numId w:val="3"/>
        </w:numPr>
        <w:ind w:firstLineChars="0"/>
        <w:jc w:val="left"/>
        <w:rPr>
          <w:rFonts w:ascii="仿宋" w:hAnsi="仿宋"/>
          <w:kern w:val="0"/>
          <w:szCs w:val="24"/>
        </w:rPr>
      </w:pPr>
      <w:r>
        <w:rPr>
          <w:rFonts w:ascii="仿宋" w:hAnsi="仿宋"/>
          <w:kern w:val="0"/>
          <w:szCs w:val="24"/>
        </w:rPr>
        <w:t>“</w:t>
      </w:r>
      <w:r>
        <w:rPr>
          <w:rFonts w:hint="eastAsia" w:ascii="仿宋" w:hAnsi="仿宋"/>
          <w:kern w:val="0"/>
          <w:szCs w:val="24"/>
        </w:rPr>
        <w:t>合同价格、计量与支付</w:t>
      </w:r>
      <w:r>
        <w:rPr>
          <w:rFonts w:ascii="仿宋" w:hAnsi="仿宋"/>
          <w:kern w:val="0"/>
          <w:szCs w:val="24"/>
        </w:rPr>
        <w:t>”</w:t>
      </w:r>
      <w:r>
        <w:rPr>
          <w:rFonts w:hint="eastAsia" w:ascii="仿宋" w:hAnsi="仿宋"/>
          <w:kern w:val="0"/>
          <w:szCs w:val="24"/>
        </w:rPr>
        <w:t>中</w:t>
      </w:r>
      <w:r>
        <w:rPr>
          <w:rFonts w:ascii="仿宋" w:hAnsi="仿宋"/>
          <w:kern w:val="0"/>
          <w:szCs w:val="24"/>
        </w:rPr>
        <w:t>增加BIM</w:t>
      </w:r>
      <w:r>
        <w:rPr>
          <w:rFonts w:hint="eastAsia" w:ascii="仿宋" w:hAnsi="仿宋"/>
          <w:kern w:val="0"/>
          <w:szCs w:val="24"/>
        </w:rPr>
        <w:t>技术</w:t>
      </w:r>
      <w:r>
        <w:rPr>
          <w:rFonts w:ascii="仿宋" w:hAnsi="仿宋"/>
          <w:kern w:val="0"/>
          <w:szCs w:val="24"/>
        </w:rPr>
        <w:t>服务费</w:t>
      </w:r>
      <w:r>
        <w:rPr>
          <w:rFonts w:hint="eastAsia" w:ascii="仿宋" w:hAnsi="仿宋"/>
          <w:kern w:val="0"/>
          <w:szCs w:val="24"/>
        </w:rPr>
        <w:t>描述</w:t>
      </w:r>
      <w:r>
        <w:rPr>
          <w:rFonts w:ascii="仿宋" w:hAnsi="仿宋"/>
          <w:kern w:val="0"/>
          <w:szCs w:val="24"/>
        </w:rPr>
        <w:t>。</w:t>
      </w:r>
    </w:p>
    <w:p>
      <w:pPr>
        <w:widowControl/>
        <w:ind w:firstLine="562"/>
        <w:jc w:val="left"/>
        <w:rPr>
          <w:rFonts w:ascii="仿宋" w:hAnsi="仿宋"/>
          <w:b/>
          <w:kern w:val="0"/>
          <w:sz w:val="28"/>
          <w:szCs w:val="30"/>
        </w:rPr>
      </w:pPr>
      <w:r>
        <w:rPr>
          <w:rFonts w:hint="eastAsia" w:ascii="仿宋" w:hAnsi="仿宋"/>
          <w:b/>
          <w:kern w:val="0"/>
          <w:sz w:val="28"/>
          <w:szCs w:val="30"/>
        </w:rPr>
        <w:t>（四）附件</w:t>
      </w:r>
    </w:p>
    <w:p>
      <w:pPr>
        <w:pStyle w:val="28"/>
        <w:widowControl/>
        <w:numPr>
          <w:ilvl w:val="0"/>
          <w:numId w:val="4"/>
        </w:numPr>
        <w:ind w:firstLineChars="0"/>
        <w:jc w:val="left"/>
        <w:rPr>
          <w:rFonts w:ascii="仿宋" w:hAnsi="仿宋"/>
          <w:kern w:val="0"/>
          <w:szCs w:val="24"/>
        </w:rPr>
      </w:pPr>
      <w:r>
        <w:rPr>
          <w:rFonts w:ascii="仿宋" w:hAnsi="仿宋"/>
          <w:kern w:val="0"/>
          <w:szCs w:val="24"/>
        </w:rPr>
        <w:t>增加</w:t>
      </w:r>
      <w:r>
        <w:rPr>
          <w:rFonts w:hint="eastAsia" w:ascii="仿宋" w:hAnsi="仿宋"/>
          <w:kern w:val="0"/>
          <w:szCs w:val="24"/>
        </w:rPr>
        <w:t>“附件5承包人向发包人交付的施工BIM文件目录”</w:t>
      </w:r>
      <w:r>
        <w:rPr>
          <w:rFonts w:ascii="仿宋" w:hAnsi="仿宋"/>
          <w:kern w:val="0"/>
          <w:szCs w:val="24"/>
        </w:rPr>
        <w:t>。</w:t>
      </w:r>
    </w:p>
    <w:p>
      <w:pPr>
        <w:pStyle w:val="28"/>
        <w:widowControl/>
        <w:numPr>
          <w:ilvl w:val="0"/>
          <w:numId w:val="4"/>
        </w:numPr>
        <w:ind w:firstLineChars="0"/>
        <w:jc w:val="left"/>
        <w:rPr>
          <w:rFonts w:ascii="仿宋" w:hAnsi="仿宋"/>
          <w:kern w:val="0"/>
          <w:szCs w:val="24"/>
        </w:rPr>
      </w:pPr>
      <w:r>
        <w:rPr>
          <w:rFonts w:ascii="仿宋" w:hAnsi="仿宋"/>
          <w:kern w:val="0"/>
          <w:szCs w:val="24"/>
        </w:rPr>
        <w:t>“</w:t>
      </w:r>
      <w:r>
        <w:rPr>
          <w:rFonts w:hint="eastAsia" w:ascii="仿宋" w:hAnsi="仿宋"/>
          <w:kern w:val="0"/>
          <w:szCs w:val="24"/>
        </w:rPr>
        <w:t>附件7承包人主要施工管理人员表</w:t>
      </w:r>
      <w:r>
        <w:rPr>
          <w:rFonts w:ascii="仿宋" w:hAnsi="仿宋"/>
          <w:kern w:val="0"/>
          <w:szCs w:val="24"/>
        </w:rPr>
        <w:t>”</w:t>
      </w:r>
      <w:r>
        <w:rPr>
          <w:rFonts w:hint="eastAsia" w:ascii="仿宋" w:hAnsi="仿宋"/>
          <w:kern w:val="0"/>
          <w:szCs w:val="24"/>
        </w:rPr>
        <w:t>中</w:t>
      </w:r>
      <w:r>
        <w:rPr>
          <w:rFonts w:ascii="仿宋" w:hAnsi="仿宋"/>
          <w:kern w:val="0"/>
          <w:szCs w:val="24"/>
        </w:rPr>
        <w:t>增加</w:t>
      </w:r>
      <w:r>
        <w:rPr>
          <w:rFonts w:hint="eastAsia" w:ascii="仿宋" w:hAnsi="仿宋"/>
          <w:kern w:val="0"/>
          <w:szCs w:val="24"/>
        </w:rPr>
        <w:t>总部人员</w:t>
      </w:r>
      <w:r>
        <w:rPr>
          <w:rFonts w:ascii="仿宋" w:hAnsi="仿宋"/>
          <w:kern w:val="0"/>
          <w:szCs w:val="24"/>
        </w:rPr>
        <w:t>的BIM技术主管和现场人员的BIM管理人员</w:t>
      </w:r>
      <w:r>
        <w:rPr>
          <w:rFonts w:hint="eastAsia" w:ascii="仿宋" w:hAnsi="仿宋"/>
          <w:kern w:val="0"/>
          <w:szCs w:val="24"/>
        </w:rPr>
        <w:t>。</w:t>
      </w:r>
    </w:p>
    <w:p>
      <w:pPr>
        <w:widowControl/>
        <w:ind w:firstLine="638" w:firstLineChars="266"/>
        <w:jc w:val="left"/>
        <w:rPr>
          <w:rFonts w:ascii="仿宋" w:hAnsi="仿宋"/>
          <w:kern w:val="0"/>
          <w:szCs w:val="24"/>
        </w:rPr>
      </w:pPr>
    </w:p>
    <w:p>
      <w:pPr>
        <w:widowControl/>
        <w:spacing w:line="240" w:lineRule="auto"/>
        <w:ind w:firstLine="0" w:firstLineChars="0"/>
        <w:jc w:val="left"/>
        <w:rPr>
          <w:rFonts w:eastAsia="黑体"/>
          <w:color w:val="000000"/>
          <w:sz w:val="44"/>
          <w:szCs w:val="44"/>
        </w:rPr>
      </w:pPr>
      <w:r>
        <w:rPr>
          <w:rFonts w:eastAsia="黑体"/>
          <w:color w:val="000000"/>
          <w:sz w:val="44"/>
          <w:szCs w:val="44"/>
        </w:rPr>
        <w:br w:type="page"/>
      </w:r>
    </w:p>
    <w:p>
      <w:pPr>
        <w:pStyle w:val="2"/>
        <w:ind w:firstLine="0" w:firstLineChars="0"/>
        <w:jc w:val="left"/>
        <w:rPr>
          <w:rFonts w:cs="Times New Roman"/>
          <w:b w:val="0"/>
        </w:rPr>
      </w:pPr>
      <w:r>
        <w:rPr>
          <w:rFonts w:hint="eastAsia" w:cs="Times New Roman"/>
          <w:b w:val="0"/>
        </w:rPr>
        <w:t>二、补充示范条款</w:t>
      </w:r>
    </w:p>
    <w:p>
      <w:pPr>
        <w:pStyle w:val="2"/>
        <w:ind w:firstLine="0" w:firstLineChars="0"/>
        <w:rPr>
          <w:rFonts w:cs="Times New Roman"/>
          <w:kern w:val="44"/>
          <w:szCs w:val="44"/>
        </w:rPr>
      </w:pPr>
      <w:r>
        <w:rPr>
          <w:rFonts w:hint="eastAsia" w:cs="Times New Roman"/>
          <w:kern w:val="44"/>
          <w:szCs w:val="44"/>
        </w:rPr>
        <w:t>第一部分 合同协议书</w:t>
      </w:r>
    </w:p>
    <w:p>
      <w:pPr>
        <w:pStyle w:val="13"/>
        <w:adjustRightInd w:val="0"/>
        <w:snapToGrid w:val="0"/>
      </w:pPr>
      <w:r>
        <w:rPr>
          <w:rFonts w:hint="eastAsia"/>
        </w:rPr>
        <w:t>一</w:t>
      </w:r>
      <w:r>
        <w:t>、</w:t>
      </w:r>
      <w:r>
        <w:rPr>
          <w:rFonts w:hint="eastAsia"/>
        </w:rPr>
        <w:t>工程概况</w:t>
      </w:r>
    </w:p>
    <w:p>
      <w:pPr>
        <w:adjustRightInd w:val="0"/>
        <w:snapToGrid w:val="0"/>
        <w:ind w:firstLine="480"/>
        <w:rPr>
          <w:bCs/>
          <w:color w:val="000000"/>
          <w:szCs w:val="24"/>
        </w:rPr>
      </w:pPr>
      <w:r>
        <w:rPr>
          <w:rFonts w:hint="eastAsia"/>
          <w:bCs/>
          <w:color w:val="000000"/>
          <w:szCs w:val="24"/>
        </w:rPr>
        <w:t>工程内容：</w:t>
      </w:r>
      <w:r>
        <w:rPr>
          <w:color w:val="000000"/>
          <w:szCs w:val="24"/>
          <w:u w:val="single"/>
        </w:rPr>
        <w:t xml:space="preserve">    </w:t>
      </w:r>
      <w:r>
        <w:rPr>
          <w:rFonts w:hint="eastAsia"/>
          <w:color w:val="000000"/>
          <w:szCs w:val="24"/>
          <w:u w:val="single"/>
        </w:rPr>
        <w:t xml:space="preserve">           </w:t>
      </w:r>
      <w:r>
        <w:rPr>
          <w:color w:val="000000"/>
          <w:szCs w:val="24"/>
          <w:u w:val="single"/>
        </w:rPr>
        <w:t xml:space="preserve">     </w:t>
      </w:r>
      <w:r>
        <w:rPr>
          <w:rFonts w:hint="eastAsia"/>
          <w:color w:val="000000"/>
          <w:szCs w:val="24"/>
          <w:u w:val="single"/>
        </w:rPr>
        <w:t xml:space="preserve">           </w:t>
      </w:r>
      <w:r>
        <w:rPr>
          <w:color w:val="000000"/>
          <w:szCs w:val="24"/>
          <w:u w:val="single"/>
        </w:rPr>
        <w:t xml:space="preserve"> </w:t>
      </w:r>
      <w:r>
        <w:rPr>
          <w:rFonts w:hint="eastAsia"/>
          <w:color w:val="000000"/>
          <w:szCs w:val="24"/>
        </w:rPr>
        <w:t>、</w:t>
      </w:r>
      <w:r>
        <w:rPr>
          <w:rFonts w:hint="eastAsia"/>
          <w:b/>
          <w:i/>
          <w:szCs w:val="24"/>
          <w:u w:val="single"/>
        </w:rPr>
        <w:t>BIM技术服务</w:t>
      </w:r>
      <w:r>
        <w:rPr>
          <w:rFonts w:hint="eastAsia"/>
          <w:b/>
          <w:bCs/>
          <w:i/>
          <w:color w:val="000000"/>
          <w:szCs w:val="24"/>
        </w:rPr>
        <w:t xml:space="preserve"> </w:t>
      </w:r>
      <w:r>
        <w:rPr>
          <w:bCs/>
          <w:color w:val="000000"/>
          <w:szCs w:val="24"/>
        </w:rPr>
        <w:t>。</w:t>
      </w:r>
    </w:p>
    <w:p>
      <w:pPr>
        <w:pStyle w:val="13"/>
        <w:adjustRightInd w:val="0"/>
        <w:snapToGrid w:val="0"/>
      </w:pPr>
      <w:bookmarkStart w:id="0" w:name="_Toc351203484"/>
      <w:r>
        <w:t>四、签约合同价与合同价格形式</w:t>
      </w:r>
      <w:bookmarkEnd w:id="0"/>
    </w:p>
    <w:p>
      <w:pPr>
        <w:adjustRightInd w:val="0"/>
        <w:snapToGrid w:val="0"/>
        <w:ind w:firstLine="480"/>
        <w:rPr>
          <w:color w:val="000000"/>
          <w:szCs w:val="24"/>
        </w:rPr>
      </w:pPr>
      <w:r>
        <w:rPr>
          <w:color w:val="000000"/>
          <w:szCs w:val="24"/>
        </w:rPr>
        <w:t>签约合同价为：</w:t>
      </w:r>
    </w:p>
    <w:p>
      <w:pPr>
        <w:adjustRightInd w:val="0"/>
        <w:snapToGrid w:val="0"/>
        <w:ind w:firstLine="480"/>
        <w:rPr>
          <w:color w:val="000000"/>
          <w:szCs w:val="24"/>
        </w:rPr>
      </w:pPr>
      <w:r>
        <w:rPr>
          <w:color w:val="000000"/>
          <w:szCs w:val="24"/>
        </w:rPr>
        <w:t>人民币（大写）</w:t>
      </w:r>
      <w:r>
        <w:rPr>
          <w:color w:val="000000"/>
          <w:szCs w:val="24"/>
          <w:u w:val="single"/>
        </w:rPr>
        <w:t xml:space="preserve">    </w:t>
      </w:r>
      <w:r>
        <w:rPr>
          <w:rFonts w:hint="eastAsia"/>
          <w:color w:val="000000"/>
          <w:szCs w:val="24"/>
          <w:u w:val="single"/>
        </w:rPr>
        <w:t xml:space="preserve">           </w:t>
      </w:r>
      <w:r>
        <w:rPr>
          <w:color w:val="000000"/>
          <w:szCs w:val="24"/>
          <w:u w:val="single"/>
        </w:rPr>
        <w:t xml:space="preserve">  </w:t>
      </w:r>
      <w:r>
        <w:rPr>
          <w:color w:val="000000"/>
          <w:szCs w:val="24"/>
        </w:rPr>
        <w:t>(¥</w:t>
      </w:r>
      <w:r>
        <w:rPr>
          <w:color w:val="000000"/>
          <w:szCs w:val="24"/>
          <w:u w:val="single"/>
        </w:rPr>
        <w:t xml:space="preserve">    </w:t>
      </w:r>
      <w:r>
        <w:rPr>
          <w:rFonts w:hint="eastAsia"/>
          <w:color w:val="000000"/>
          <w:szCs w:val="24"/>
          <w:u w:val="single"/>
        </w:rPr>
        <w:t xml:space="preserve">      </w:t>
      </w:r>
      <w:r>
        <w:rPr>
          <w:color w:val="000000"/>
          <w:szCs w:val="24"/>
          <w:u w:val="single"/>
        </w:rPr>
        <w:t xml:space="preserve">  </w:t>
      </w:r>
      <w:r>
        <w:rPr>
          <w:color w:val="000000"/>
          <w:szCs w:val="24"/>
        </w:rPr>
        <w:t>元)；</w:t>
      </w:r>
    </w:p>
    <w:p>
      <w:pPr>
        <w:adjustRightInd w:val="0"/>
        <w:snapToGrid w:val="0"/>
        <w:ind w:firstLine="480"/>
        <w:rPr>
          <w:color w:val="000000"/>
          <w:szCs w:val="24"/>
        </w:rPr>
      </w:pPr>
      <w:r>
        <w:rPr>
          <w:color w:val="000000"/>
          <w:szCs w:val="24"/>
        </w:rPr>
        <w:t>其中：</w:t>
      </w:r>
    </w:p>
    <w:p>
      <w:pPr>
        <w:adjustRightInd w:val="0"/>
        <w:snapToGrid w:val="0"/>
        <w:ind w:firstLine="480"/>
        <w:rPr>
          <w:color w:val="000000"/>
          <w:szCs w:val="24"/>
        </w:rPr>
      </w:pPr>
      <w:r>
        <w:rPr>
          <w:color w:val="000000"/>
          <w:szCs w:val="24"/>
        </w:rPr>
        <w:t>（1）安全文明施工费：</w:t>
      </w:r>
    </w:p>
    <w:p>
      <w:pPr>
        <w:adjustRightInd w:val="0"/>
        <w:snapToGrid w:val="0"/>
        <w:ind w:firstLine="1080" w:firstLineChars="450"/>
        <w:rPr>
          <w:color w:val="000000"/>
          <w:szCs w:val="24"/>
        </w:rPr>
      </w:pPr>
      <w:r>
        <w:rPr>
          <w:color w:val="000000"/>
          <w:szCs w:val="24"/>
        </w:rPr>
        <w:t>人民币（大写）</w:t>
      </w:r>
      <w:r>
        <w:rPr>
          <w:color w:val="000000"/>
          <w:szCs w:val="24"/>
          <w:u w:val="single"/>
        </w:rPr>
        <w:t xml:space="preserve">   </w:t>
      </w:r>
      <w:r>
        <w:rPr>
          <w:rFonts w:hint="eastAsia"/>
          <w:color w:val="000000"/>
          <w:szCs w:val="24"/>
          <w:u w:val="single"/>
        </w:rPr>
        <w:t xml:space="preserve">  </w:t>
      </w:r>
      <w:r>
        <w:rPr>
          <w:color w:val="000000"/>
          <w:szCs w:val="24"/>
          <w:u w:val="single"/>
        </w:rPr>
        <w:t xml:space="preserve"> </w:t>
      </w:r>
      <w:r>
        <w:rPr>
          <w:rFonts w:hint="eastAsia"/>
          <w:color w:val="000000"/>
          <w:szCs w:val="24"/>
          <w:u w:val="single"/>
        </w:rPr>
        <w:t xml:space="preserve">       </w:t>
      </w:r>
      <w:r>
        <w:rPr>
          <w:color w:val="000000"/>
          <w:szCs w:val="24"/>
          <w:u w:val="single"/>
        </w:rPr>
        <w:t xml:space="preserve"> </w:t>
      </w:r>
      <w:r>
        <w:rPr>
          <w:color w:val="000000"/>
          <w:szCs w:val="24"/>
        </w:rPr>
        <w:t xml:space="preserve"> (¥</w:t>
      </w:r>
      <w:r>
        <w:rPr>
          <w:color w:val="000000"/>
          <w:szCs w:val="24"/>
          <w:u w:val="single"/>
        </w:rPr>
        <w:t xml:space="preserve">    </w:t>
      </w:r>
      <w:r>
        <w:rPr>
          <w:rFonts w:hint="eastAsia"/>
          <w:color w:val="000000"/>
          <w:szCs w:val="24"/>
          <w:u w:val="single"/>
        </w:rPr>
        <w:t xml:space="preserve">      </w:t>
      </w:r>
      <w:r>
        <w:rPr>
          <w:color w:val="000000"/>
          <w:szCs w:val="24"/>
        </w:rPr>
        <w:t>元)；</w:t>
      </w:r>
    </w:p>
    <w:p>
      <w:pPr>
        <w:adjustRightInd w:val="0"/>
        <w:snapToGrid w:val="0"/>
        <w:ind w:firstLine="480"/>
        <w:rPr>
          <w:color w:val="000000"/>
          <w:szCs w:val="24"/>
        </w:rPr>
      </w:pPr>
      <w:r>
        <w:rPr>
          <w:color w:val="000000"/>
          <w:szCs w:val="24"/>
        </w:rPr>
        <w:t>（2）材料和工程设备暂估价金额：</w:t>
      </w:r>
    </w:p>
    <w:p>
      <w:pPr>
        <w:adjustRightInd w:val="0"/>
        <w:snapToGrid w:val="0"/>
        <w:ind w:firstLine="1080" w:firstLineChars="450"/>
        <w:rPr>
          <w:color w:val="000000"/>
          <w:szCs w:val="24"/>
        </w:rPr>
      </w:pPr>
      <w:r>
        <w:rPr>
          <w:color w:val="000000"/>
          <w:szCs w:val="24"/>
        </w:rPr>
        <w:t>人民币（大写）</w:t>
      </w:r>
      <w:r>
        <w:rPr>
          <w:color w:val="000000"/>
          <w:szCs w:val="24"/>
          <w:u w:val="single"/>
        </w:rPr>
        <w:t xml:space="preserve">    </w:t>
      </w:r>
      <w:r>
        <w:rPr>
          <w:rFonts w:hint="eastAsia"/>
          <w:color w:val="000000"/>
          <w:szCs w:val="24"/>
          <w:u w:val="single"/>
        </w:rPr>
        <w:t xml:space="preserve">        </w:t>
      </w:r>
      <w:r>
        <w:rPr>
          <w:color w:val="000000"/>
          <w:szCs w:val="24"/>
          <w:u w:val="single"/>
        </w:rPr>
        <w:t xml:space="preserve">  </w:t>
      </w:r>
      <w:r>
        <w:rPr>
          <w:color w:val="000000"/>
          <w:szCs w:val="24"/>
        </w:rPr>
        <w:t xml:space="preserve"> (¥</w:t>
      </w:r>
      <w:r>
        <w:rPr>
          <w:color w:val="000000"/>
          <w:szCs w:val="24"/>
          <w:u w:val="single"/>
        </w:rPr>
        <w:t xml:space="preserve">    </w:t>
      </w:r>
      <w:r>
        <w:rPr>
          <w:rFonts w:hint="eastAsia"/>
          <w:color w:val="000000"/>
          <w:szCs w:val="24"/>
          <w:u w:val="single"/>
        </w:rPr>
        <w:t xml:space="preserve">     </w:t>
      </w:r>
      <w:r>
        <w:rPr>
          <w:color w:val="000000"/>
          <w:szCs w:val="24"/>
          <w:u w:val="single"/>
        </w:rPr>
        <w:t xml:space="preserve"> </w:t>
      </w:r>
      <w:r>
        <w:rPr>
          <w:color w:val="000000"/>
          <w:szCs w:val="24"/>
        </w:rPr>
        <w:t>元)；</w:t>
      </w:r>
    </w:p>
    <w:p>
      <w:pPr>
        <w:adjustRightInd w:val="0"/>
        <w:snapToGrid w:val="0"/>
        <w:ind w:firstLine="480"/>
        <w:rPr>
          <w:color w:val="000000"/>
          <w:szCs w:val="24"/>
        </w:rPr>
      </w:pPr>
      <w:r>
        <w:rPr>
          <w:color w:val="000000"/>
          <w:szCs w:val="24"/>
        </w:rPr>
        <w:t>（3）专业工程暂估价金额：</w:t>
      </w:r>
    </w:p>
    <w:p>
      <w:pPr>
        <w:adjustRightInd w:val="0"/>
        <w:snapToGrid w:val="0"/>
        <w:ind w:firstLine="1080" w:firstLineChars="450"/>
        <w:rPr>
          <w:color w:val="000000"/>
          <w:szCs w:val="24"/>
        </w:rPr>
      </w:pPr>
      <w:r>
        <w:rPr>
          <w:color w:val="000000"/>
          <w:szCs w:val="24"/>
        </w:rPr>
        <w:t>人民币（大写）</w:t>
      </w:r>
      <w:r>
        <w:rPr>
          <w:color w:val="000000"/>
          <w:szCs w:val="24"/>
          <w:u w:val="single"/>
        </w:rPr>
        <w:t xml:space="preserve">    </w:t>
      </w:r>
      <w:r>
        <w:rPr>
          <w:rFonts w:hint="eastAsia"/>
          <w:color w:val="000000"/>
          <w:szCs w:val="24"/>
          <w:u w:val="single"/>
        </w:rPr>
        <w:t xml:space="preserve">        </w:t>
      </w:r>
      <w:r>
        <w:rPr>
          <w:color w:val="000000"/>
          <w:szCs w:val="24"/>
          <w:u w:val="single"/>
        </w:rPr>
        <w:t xml:space="preserve">  </w:t>
      </w:r>
      <w:r>
        <w:rPr>
          <w:color w:val="000000"/>
          <w:szCs w:val="24"/>
        </w:rPr>
        <w:t xml:space="preserve"> (¥</w:t>
      </w:r>
      <w:r>
        <w:rPr>
          <w:color w:val="000000"/>
          <w:szCs w:val="24"/>
          <w:u w:val="single"/>
        </w:rPr>
        <w:t xml:space="preserve">    </w:t>
      </w:r>
      <w:r>
        <w:rPr>
          <w:rFonts w:hint="eastAsia"/>
          <w:color w:val="000000"/>
          <w:szCs w:val="24"/>
          <w:u w:val="single"/>
        </w:rPr>
        <w:t xml:space="preserve">     </w:t>
      </w:r>
      <w:r>
        <w:rPr>
          <w:color w:val="000000"/>
          <w:szCs w:val="24"/>
          <w:u w:val="single"/>
        </w:rPr>
        <w:t xml:space="preserve"> </w:t>
      </w:r>
      <w:r>
        <w:rPr>
          <w:color w:val="000000"/>
          <w:szCs w:val="24"/>
        </w:rPr>
        <w:t>元)；</w:t>
      </w:r>
    </w:p>
    <w:p>
      <w:pPr>
        <w:adjustRightInd w:val="0"/>
        <w:snapToGrid w:val="0"/>
        <w:ind w:firstLine="480"/>
        <w:rPr>
          <w:color w:val="000000"/>
          <w:szCs w:val="24"/>
        </w:rPr>
      </w:pPr>
      <w:r>
        <w:rPr>
          <w:color w:val="000000"/>
          <w:szCs w:val="24"/>
        </w:rPr>
        <w:t>（4）暂列金额：</w:t>
      </w:r>
    </w:p>
    <w:p>
      <w:pPr>
        <w:adjustRightInd w:val="0"/>
        <w:snapToGrid w:val="0"/>
        <w:ind w:firstLine="1080" w:firstLineChars="450"/>
        <w:rPr>
          <w:color w:val="000000"/>
          <w:szCs w:val="24"/>
        </w:rPr>
      </w:pPr>
      <w:r>
        <w:rPr>
          <w:color w:val="000000"/>
          <w:szCs w:val="24"/>
        </w:rPr>
        <w:t xml:space="preserve">人民币（大写）    </w:t>
      </w:r>
      <w:r>
        <w:rPr>
          <w:rFonts w:hint="eastAsia"/>
          <w:color w:val="000000"/>
          <w:szCs w:val="24"/>
        </w:rPr>
        <w:t xml:space="preserve">        </w:t>
      </w:r>
      <w:r>
        <w:rPr>
          <w:color w:val="000000"/>
          <w:szCs w:val="24"/>
        </w:rPr>
        <w:t xml:space="preserve">   (¥    </w:t>
      </w:r>
      <w:r>
        <w:rPr>
          <w:rFonts w:hint="eastAsia"/>
          <w:color w:val="000000"/>
          <w:szCs w:val="24"/>
        </w:rPr>
        <w:t xml:space="preserve">    </w:t>
      </w:r>
      <w:r>
        <w:rPr>
          <w:color w:val="000000"/>
          <w:szCs w:val="24"/>
        </w:rPr>
        <w:t xml:space="preserve">  元)</w:t>
      </w:r>
      <w:r>
        <w:rPr>
          <w:rFonts w:hint="eastAsia"/>
          <w:color w:val="000000"/>
          <w:szCs w:val="24"/>
        </w:rPr>
        <w:t>；</w:t>
      </w:r>
    </w:p>
    <w:p>
      <w:pPr>
        <w:adjustRightInd w:val="0"/>
        <w:snapToGrid w:val="0"/>
        <w:ind w:firstLine="482"/>
        <w:rPr>
          <w:b/>
          <w:i/>
          <w:color w:val="000000"/>
          <w:szCs w:val="24"/>
          <w:u w:val="single"/>
        </w:rPr>
      </w:pPr>
      <w:r>
        <w:rPr>
          <w:rFonts w:hint="eastAsia"/>
          <w:b/>
          <w:i/>
          <w:color w:val="000000"/>
          <w:szCs w:val="24"/>
          <w:u w:val="single"/>
        </w:rPr>
        <w:t>（5）</w:t>
      </w:r>
      <w:r>
        <w:rPr>
          <w:b/>
          <w:i/>
          <w:color w:val="000000"/>
          <w:szCs w:val="24"/>
          <w:u w:val="single"/>
        </w:rPr>
        <w:t>BIM</w:t>
      </w:r>
      <w:r>
        <w:rPr>
          <w:rFonts w:hint="eastAsia"/>
          <w:b/>
          <w:i/>
          <w:color w:val="000000"/>
          <w:szCs w:val="24"/>
          <w:u w:val="single"/>
        </w:rPr>
        <w:t>技术服务费用：</w:t>
      </w:r>
    </w:p>
    <w:p>
      <w:pPr>
        <w:adjustRightInd w:val="0"/>
        <w:snapToGrid w:val="0"/>
        <w:ind w:firstLine="1084" w:firstLineChars="450"/>
        <w:rPr>
          <w:rFonts w:eastAsia="仿宋_GB2312"/>
          <w:b/>
          <w:i/>
          <w:color w:val="000000"/>
          <w:sz w:val="30"/>
          <w:szCs w:val="30"/>
          <w:u w:val="single"/>
        </w:rPr>
      </w:pPr>
      <w:r>
        <w:rPr>
          <w:rFonts w:hint="eastAsia"/>
          <w:b/>
          <w:i/>
          <w:color w:val="000000"/>
          <w:szCs w:val="24"/>
          <w:u w:val="single"/>
        </w:rPr>
        <w:t>人民币（大写）</w:t>
      </w:r>
      <w:r>
        <w:rPr>
          <w:b/>
          <w:i/>
          <w:color w:val="000000"/>
          <w:szCs w:val="24"/>
          <w:u w:val="single"/>
        </w:rPr>
        <w:t xml:space="preserve">               (¥          </w:t>
      </w:r>
      <w:r>
        <w:rPr>
          <w:rFonts w:hint="eastAsia"/>
          <w:b/>
          <w:i/>
          <w:color w:val="000000"/>
          <w:szCs w:val="24"/>
          <w:u w:val="single"/>
        </w:rPr>
        <w:t>元</w:t>
      </w:r>
      <w:r>
        <w:rPr>
          <w:b/>
          <w:i/>
          <w:color w:val="000000"/>
          <w:szCs w:val="24"/>
          <w:u w:val="single"/>
        </w:rPr>
        <w:t>)</w:t>
      </w:r>
      <w:r>
        <w:rPr>
          <w:rFonts w:hint="eastAsia"/>
          <w:b/>
          <w:i/>
          <w:color w:val="000000"/>
          <w:szCs w:val="24"/>
          <w:u w:val="single"/>
        </w:rPr>
        <w:t>；</w:t>
      </w:r>
    </w:p>
    <w:p>
      <w:pPr>
        <w:pStyle w:val="13"/>
        <w:adjustRightInd w:val="0"/>
        <w:snapToGrid w:val="0"/>
      </w:pPr>
      <w:bookmarkStart w:id="1" w:name="_Toc351203486"/>
      <w:r>
        <w:t>六、合同文件构成</w:t>
      </w:r>
      <w:bookmarkEnd w:id="1"/>
    </w:p>
    <w:p>
      <w:pPr>
        <w:adjustRightInd w:val="0"/>
        <w:snapToGrid w:val="0"/>
        <w:ind w:firstLine="480"/>
        <w:rPr>
          <w:rFonts w:cstheme="majorBidi"/>
        </w:rPr>
      </w:pPr>
      <w:r>
        <w:rPr>
          <w:color w:val="000000"/>
        </w:rPr>
        <w:t>图纸</w:t>
      </w:r>
      <w:r>
        <w:rPr>
          <w:b/>
          <w:i/>
          <w:u w:val="single"/>
        </w:rPr>
        <w:t>及配套BIM模型</w:t>
      </w:r>
      <w:r>
        <w:rPr>
          <w:color w:val="000000"/>
        </w:rPr>
        <w:t>；</w:t>
      </w:r>
      <w:r>
        <w:br w:type="page"/>
      </w:r>
    </w:p>
    <w:p>
      <w:pPr>
        <w:pStyle w:val="2"/>
        <w:ind w:firstLine="643"/>
        <w:rPr>
          <w:b w:val="0"/>
        </w:rPr>
      </w:pPr>
      <w:r>
        <w:rPr>
          <w:rFonts w:hint="eastAsia"/>
        </w:rPr>
        <w:t>第二部分 通用合同条款</w:t>
      </w:r>
    </w:p>
    <w:p>
      <w:pPr>
        <w:pStyle w:val="13"/>
      </w:pPr>
      <w:r>
        <w:t>1.</w:t>
      </w:r>
      <w:bookmarkStart w:id="2" w:name="_Toc303538972"/>
      <w:bookmarkEnd w:id="2"/>
      <w:bookmarkStart w:id="3" w:name="_Toc303538973"/>
      <w:bookmarkEnd w:id="3"/>
      <w:bookmarkStart w:id="4" w:name="_Toc303538976"/>
      <w:bookmarkEnd w:id="4"/>
      <w:bookmarkStart w:id="5" w:name="_Toc303538974"/>
      <w:bookmarkEnd w:id="5"/>
      <w:bookmarkStart w:id="6" w:name="_Toc303538975"/>
      <w:bookmarkEnd w:id="6"/>
      <w:bookmarkStart w:id="7" w:name="_Toc296346528"/>
      <w:bookmarkStart w:id="8" w:name="_Toc296503027"/>
      <w:r>
        <w:t xml:space="preserve"> 一般约定</w:t>
      </w:r>
      <w:bookmarkEnd w:id="7"/>
      <w:bookmarkEnd w:id="8"/>
      <w:bookmarkStart w:id="9" w:name="_Toc296346529"/>
      <w:bookmarkStart w:id="10" w:name="_Toc296503028"/>
      <w:bookmarkStart w:id="11" w:name="_Toc337558728"/>
      <w:bookmarkStart w:id="12" w:name="_Toc351203496"/>
    </w:p>
    <w:p>
      <w:pPr>
        <w:pStyle w:val="5"/>
        <w:ind w:firstLine="482"/>
      </w:pPr>
      <w:r>
        <w:t>词语定义</w:t>
      </w:r>
      <w:bookmarkEnd w:id="9"/>
      <w:bookmarkEnd w:id="10"/>
      <w:bookmarkEnd w:id="11"/>
      <w:r>
        <w:t>与解释</w:t>
      </w:r>
      <w:bookmarkEnd w:id="12"/>
    </w:p>
    <w:p>
      <w:pPr>
        <w:ind w:firstLine="480"/>
        <w:rPr>
          <w:color w:val="000000"/>
          <w:kern w:val="0"/>
          <w:szCs w:val="24"/>
        </w:rPr>
      </w:pPr>
      <w:r>
        <w:rPr>
          <w:color w:val="000000"/>
          <w:kern w:val="0"/>
          <w:szCs w:val="24"/>
        </w:rPr>
        <w:t>合同</w:t>
      </w:r>
    </w:p>
    <w:p>
      <w:pPr>
        <w:ind w:firstLine="480"/>
      </w:pPr>
      <w:r>
        <w:t>合同：是指根据法律规定和合同当事人约定具有约束力的文件，构成合同的文件包括合同协议书、中标通知书（如果有）、投标函及其附录（如果有）、专用合同条款及其附件、通用合同条款、技术标准和要求、图纸</w:t>
      </w:r>
      <w:r>
        <w:rPr>
          <w:b/>
          <w:i/>
          <w:u w:val="single"/>
        </w:rPr>
        <w:t>及配套BIM模型</w:t>
      </w:r>
      <w:r>
        <w:t>、已标价工程量清单或预算书以及其他合同文件。</w:t>
      </w:r>
    </w:p>
    <w:p>
      <w:pPr>
        <w:ind w:firstLine="480"/>
      </w:pPr>
      <w:r>
        <w:t>图纸</w:t>
      </w:r>
      <w:r>
        <w:rPr>
          <w:b/>
          <w:i/>
          <w:u w:val="single"/>
        </w:rPr>
        <w:t>及配套BIM模型</w:t>
      </w:r>
      <w:r>
        <w:t>：是指构成合同的图纸</w:t>
      </w:r>
      <w:r>
        <w:rPr>
          <w:b/>
          <w:i/>
          <w:u w:val="single"/>
        </w:rPr>
        <w:t>及配套BIM模型</w:t>
      </w:r>
      <w:r>
        <w:t>，包括由发包人按照合同约定提供或经发包人批准的设计文件、</w:t>
      </w:r>
      <w:r>
        <w:rPr>
          <w:rFonts w:hint="eastAsia"/>
        </w:rPr>
        <w:t>施工图、</w:t>
      </w:r>
      <w:r>
        <w:t>鸟瞰图等，</w:t>
      </w:r>
      <w:r>
        <w:rPr>
          <w:rFonts w:hint="eastAsia"/>
        </w:rPr>
        <w:t>以及在合同履行过程中形成的图纸</w:t>
      </w:r>
      <w:r>
        <w:rPr>
          <w:rFonts w:hint="eastAsia"/>
          <w:b/>
          <w:i/>
          <w:u w:val="single"/>
        </w:rPr>
        <w:t>及配套BIM模型</w:t>
      </w:r>
      <w:r>
        <w:rPr>
          <w:rFonts w:hint="eastAsia"/>
        </w:rPr>
        <w:t>文件。图纸</w:t>
      </w:r>
      <w:r>
        <w:rPr>
          <w:rFonts w:hint="eastAsia"/>
          <w:b/>
          <w:i/>
          <w:u w:val="single"/>
        </w:rPr>
        <w:t>及配套BIM模型</w:t>
      </w:r>
      <w:r>
        <w:t>应当按照法律规定审查合格。</w:t>
      </w:r>
    </w:p>
    <w:p>
      <w:pPr>
        <w:pStyle w:val="5"/>
        <w:ind w:firstLine="482"/>
      </w:pPr>
      <w:bookmarkStart w:id="13" w:name="_Toc351203500"/>
      <w:bookmarkStart w:id="14" w:name="_Toc337558731"/>
      <w:bookmarkStart w:id="15" w:name="_Toc296503031"/>
      <w:bookmarkStart w:id="16" w:name="_Toc296346532"/>
      <w:r>
        <w:t>合同文件的优先顺序</w:t>
      </w:r>
      <w:bookmarkEnd w:id="13"/>
    </w:p>
    <w:bookmarkEnd w:id="14"/>
    <w:bookmarkEnd w:id="15"/>
    <w:bookmarkEnd w:id="16"/>
    <w:p>
      <w:pPr>
        <w:autoSpaceDE w:val="0"/>
        <w:autoSpaceDN w:val="0"/>
        <w:adjustRightInd w:val="0"/>
        <w:ind w:firstLine="480"/>
        <w:rPr>
          <w:color w:val="000000"/>
          <w:kern w:val="0"/>
          <w:szCs w:val="24"/>
        </w:rPr>
      </w:pPr>
      <w:r>
        <w:rPr>
          <w:color w:val="000000"/>
          <w:kern w:val="0"/>
          <w:szCs w:val="24"/>
        </w:rPr>
        <w:t>图纸</w:t>
      </w:r>
      <w:r>
        <w:rPr>
          <w:b/>
          <w:i/>
          <w:szCs w:val="24"/>
          <w:u w:val="single"/>
        </w:rPr>
        <w:t>及配套BIM模型</w:t>
      </w:r>
      <w:r>
        <w:rPr>
          <w:color w:val="000000"/>
          <w:kern w:val="0"/>
          <w:szCs w:val="24"/>
        </w:rPr>
        <w:t>；</w:t>
      </w:r>
    </w:p>
    <w:p>
      <w:pPr>
        <w:pStyle w:val="5"/>
        <w:ind w:firstLine="482"/>
      </w:pPr>
      <w:bookmarkStart w:id="17" w:name="_Toc337558732"/>
      <w:bookmarkStart w:id="18" w:name="_Toc296503032"/>
      <w:bookmarkStart w:id="19" w:name="_Toc296346533"/>
      <w:bookmarkStart w:id="20" w:name="_Toc351203501"/>
      <w:r>
        <w:t>图纸</w:t>
      </w:r>
      <w:r>
        <w:rPr>
          <w:i/>
          <w:u w:val="single"/>
        </w:rPr>
        <w:t>及配套BIM模型</w:t>
      </w:r>
      <w:r>
        <w:t>和承包人文件</w:t>
      </w:r>
      <w:bookmarkEnd w:id="17"/>
      <w:bookmarkEnd w:id="18"/>
      <w:bookmarkEnd w:id="19"/>
      <w:bookmarkEnd w:id="20"/>
    </w:p>
    <w:p>
      <w:pPr>
        <w:ind w:firstLine="480"/>
      </w:pPr>
      <w:r>
        <w:t>图纸</w:t>
      </w:r>
      <w:r>
        <w:rPr>
          <w:b/>
          <w:i/>
          <w:u w:val="single"/>
        </w:rPr>
        <w:t>及配套BIM模型</w:t>
      </w:r>
      <w:r>
        <w:t>的提供和交底</w:t>
      </w:r>
    </w:p>
    <w:p>
      <w:pPr>
        <w:ind w:firstLine="480"/>
      </w:pPr>
      <w:r>
        <w:t>发包人应按照专用合同条款约定的期限、数量和内容向承包人免费提供图纸</w:t>
      </w:r>
      <w:r>
        <w:rPr>
          <w:b/>
          <w:i/>
          <w:u w:val="single"/>
        </w:rPr>
        <w:t>及配套BIM模型</w:t>
      </w:r>
      <w:r>
        <w:t>，并组织承包人、监理人和设计人进行图纸</w:t>
      </w:r>
      <w:r>
        <w:rPr>
          <w:b/>
          <w:i/>
          <w:u w:val="single"/>
        </w:rPr>
        <w:t>及配套BIM模型</w:t>
      </w:r>
      <w:r>
        <w:t>会审和设计交底。发包人至迟不得晚于第7.3.2项</w:t>
      </w:r>
      <w:r>
        <w:rPr>
          <w:rFonts w:hint="eastAsia"/>
        </w:rPr>
        <w:t>〔</w:t>
      </w:r>
      <w:r>
        <w:t>开工通知</w:t>
      </w:r>
      <w:r>
        <w:rPr>
          <w:rFonts w:hint="eastAsia"/>
        </w:rPr>
        <w:t>〕</w:t>
      </w:r>
      <w:r>
        <w:t>载明的开工日期前14天向承包人提供图纸</w:t>
      </w:r>
      <w:r>
        <w:rPr>
          <w:b/>
          <w:i/>
          <w:u w:val="single"/>
        </w:rPr>
        <w:t>及配套BIM模型</w:t>
      </w:r>
      <w:r>
        <w:t>。</w:t>
      </w:r>
    </w:p>
    <w:p>
      <w:pPr>
        <w:ind w:firstLine="480"/>
      </w:pPr>
      <w:r>
        <w:t>因发包人未按合同约定提供图纸</w:t>
      </w:r>
      <w:r>
        <w:rPr>
          <w:b/>
          <w:i/>
          <w:u w:val="single"/>
        </w:rPr>
        <w:t>及配套BIM模型</w:t>
      </w:r>
      <w:r>
        <w:t>导致承包人费用增加和（或）工期延误的，按照第7.5.1项</w:t>
      </w:r>
      <w:r>
        <w:rPr>
          <w:rFonts w:hint="eastAsia"/>
        </w:rPr>
        <w:t>〔</w:t>
      </w:r>
      <w:r>
        <w:t>因发包人原因导致工期延误</w:t>
      </w:r>
      <w:r>
        <w:rPr>
          <w:rFonts w:hint="eastAsia"/>
        </w:rPr>
        <w:t>〕</w:t>
      </w:r>
      <w:r>
        <w:t>约定办理。</w:t>
      </w:r>
    </w:p>
    <w:p>
      <w:pPr>
        <w:ind w:firstLine="480"/>
      </w:pPr>
      <w:r>
        <w:t>图纸</w:t>
      </w:r>
      <w:r>
        <w:rPr>
          <w:b/>
          <w:i/>
          <w:u w:val="single"/>
        </w:rPr>
        <w:t>及配套BIM模型</w:t>
      </w:r>
      <w:r>
        <w:t>的错误</w:t>
      </w:r>
    </w:p>
    <w:p>
      <w:pPr>
        <w:ind w:firstLine="480"/>
      </w:pPr>
      <w:r>
        <w:t>承包人在收到发包人提供的图纸</w:t>
      </w:r>
      <w:r>
        <w:rPr>
          <w:b/>
          <w:i/>
          <w:u w:val="single"/>
        </w:rPr>
        <w:t>及配套BIM模型</w:t>
      </w:r>
      <w:r>
        <w:t>后，发现图纸</w:t>
      </w:r>
      <w:r>
        <w:rPr>
          <w:b/>
          <w:i/>
          <w:u w:val="single"/>
        </w:rPr>
        <w:t>及配套BIM模型</w:t>
      </w:r>
      <w:r>
        <w:t>存在差错、遗漏或缺陷的，应及时通知监理人。监理人接到该通知后，应附具相关意见并立即报送发包人，发包人应在收到监理人报送的通知后的合理时间内作出决定。</w:t>
      </w:r>
      <w:r>
        <w:rPr>
          <w:rFonts w:hint="eastAsia"/>
        </w:rPr>
        <w:t>合理时间是指发包人在收到监理人的报送通知后，尽其努力且不懈怠地完成图纸</w:t>
      </w:r>
      <w:r>
        <w:rPr>
          <w:rFonts w:hint="eastAsia"/>
          <w:b/>
          <w:i/>
          <w:u w:val="single"/>
        </w:rPr>
        <w:t>及配套BIM模型</w:t>
      </w:r>
      <w:r>
        <w:rPr>
          <w:rFonts w:hint="eastAsia"/>
        </w:rPr>
        <w:t>修改补充所需的时间。</w:t>
      </w:r>
    </w:p>
    <w:p>
      <w:pPr>
        <w:ind w:firstLine="480"/>
      </w:pPr>
      <w:r>
        <w:t>图纸</w:t>
      </w:r>
      <w:r>
        <w:rPr>
          <w:b/>
          <w:i/>
          <w:u w:val="single"/>
        </w:rPr>
        <w:t>及配套BIM模型</w:t>
      </w:r>
      <w:r>
        <w:t>的修改和补充</w:t>
      </w:r>
    </w:p>
    <w:p>
      <w:pPr>
        <w:ind w:firstLine="480"/>
      </w:pPr>
      <w:r>
        <w:t>图纸</w:t>
      </w:r>
      <w:r>
        <w:rPr>
          <w:b/>
          <w:i/>
          <w:u w:val="single"/>
        </w:rPr>
        <w:t>及配套BIM模型</w:t>
      </w:r>
      <w:r>
        <w:t>需要修改和补充的，应经图纸</w:t>
      </w:r>
      <w:r>
        <w:rPr>
          <w:b/>
          <w:i/>
          <w:u w:val="single"/>
        </w:rPr>
        <w:t>及配套BIM模型</w:t>
      </w:r>
      <w:r>
        <w:t>原设计人及审批部门同意，并由监理人在工程或工程相应部位施工前将修改后的图纸</w:t>
      </w:r>
      <w:r>
        <w:rPr>
          <w:b/>
          <w:i/>
          <w:u w:val="single"/>
        </w:rPr>
        <w:t>及配套BIM模型</w:t>
      </w:r>
      <w:r>
        <w:t>或补充图纸</w:t>
      </w:r>
      <w:r>
        <w:rPr>
          <w:b/>
          <w:i/>
          <w:u w:val="single"/>
        </w:rPr>
        <w:t>及配套BIM模型</w:t>
      </w:r>
      <w:r>
        <w:t>提交给承包人，承包人应按修改或补充后的图纸</w:t>
      </w:r>
      <w:r>
        <w:rPr>
          <w:b/>
          <w:i/>
          <w:u w:val="single"/>
        </w:rPr>
        <w:t>及配套BIM模型</w:t>
      </w:r>
      <w:r>
        <w:t>施工。</w:t>
      </w:r>
    </w:p>
    <w:p>
      <w:pPr>
        <w:ind w:firstLine="480"/>
      </w:pPr>
      <w:r>
        <w:t>图纸</w:t>
      </w:r>
      <w:r>
        <w:rPr>
          <w:b/>
          <w:i/>
          <w:u w:val="single"/>
        </w:rPr>
        <w:t>及配套BIM模型</w:t>
      </w:r>
      <w:r>
        <w:t>和承包人文件的保管</w:t>
      </w:r>
    </w:p>
    <w:p>
      <w:pPr>
        <w:ind w:firstLine="480"/>
      </w:pPr>
      <w:r>
        <w:t>除专用合同条款另有约定外，承包人应在施工现场另外保存一套完整的图纸</w:t>
      </w:r>
      <w:r>
        <w:rPr>
          <w:b/>
          <w:i/>
          <w:u w:val="single"/>
        </w:rPr>
        <w:t>及配套BIM模型</w:t>
      </w:r>
      <w:r>
        <w:t>和承包人文件，供发包人、监理人及有关人员进行工程检查时使用。</w:t>
      </w:r>
    </w:p>
    <w:p>
      <w:pPr>
        <w:pStyle w:val="5"/>
        <w:ind w:firstLine="482"/>
      </w:pPr>
      <w:bookmarkStart w:id="21" w:name="_Toc351203506"/>
      <w:bookmarkStart w:id="22" w:name="_Toc337558737"/>
      <w:bookmarkStart w:id="23" w:name="_Toc296503037"/>
      <w:bookmarkStart w:id="24" w:name="_Toc296346538"/>
      <w:r>
        <w:t>知识产权</w:t>
      </w:r>
      <w:bookmarkEnd w:id="21"/>
      <w:r>
        <w:t xml:space="preserve"> </w:t>
      </w:r>
      <w:bookmarkEnd w:id="22"/>
    </w:p>
    <w:bookmarkEnd w:id="23"/>
    <w:bookmarkEnd w:id="24"/>
    <w:p>
      <w:pPr>
        <w:ind w:firstLine="480"/>
      </w:pPr>
      <w:r>
        <w:t>除专用合同条款另有约定外，发包人提供给承包人的图纸</w:t>
      </w:r>
      <w:r>
        <w:rPr>
          <w:b/>
          <w:i/>
          <w:u w:val="single"/>
        </w:rPr>
        <w:t>及配套BIM模型</w:t>
      </w:r>
      <w:r>
        <w:t>、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ind w:firstLine="480"/>
      </w:pPr>
      <w:r>
        <w:t>除专用合同条款另有约定外，承包人为实施工程所编制的文件</w:t>
      </w:r>
      <w:r>
        <w:rPr>
          <w:rFonts w:hint="eastAsia"/>
        </w:rPr>
        <w:t>（</w:t>
      </w:r>
      <w:r>
        <w:rPr>
          <w:rFonts w:hint="eastAsia"/>
          <w:b/>
          <w:i/>
          <w:u w:val="single"/>
        </w:rPr>
        <w:t>含BIM模型</w:t>
      </w:r>
      <w:r>
        <w:rPr>
          <w:rFonts w:hint="eastAsia"/>
        </w:rPr>
        <w:t>）</w:t>
      </w:r>
      <w:r>
        <w:t>，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pStyle w:val="5"/>
        <w:ind w:firstLine="482"/>
      </w:pPr>
      <w:bookmarkStart w:id="25" w:name="_Toc351203507"/>
      <w:bookmarkStart w:id="26" w:name="_Toc337558738"/>
      <w:r>
        <w:t>保密</w:t>
      </w:r>
      <w:bookmarkEnd w:id="25"/>
    </w:p>
    <w:bookmarkEnd w:id="26"/>
    <w:p>
      <w:pPr>
        <w:ind w:firstLine="480"/>
      </w:pPr>
      <w:r>
        <w:t>除法律规定或合同另有约定外，未经发包人同意，承包人不得将发包人提供的图纸</w:t>
      </w:r>
      <w:r>
        <w:rPr>
          <w:b/>
          <w:i/>
          <w:u w:val="single"/>
        </w:rPr>
        <w:t>及配套BIM模型</w:t>
      </w:r>
      <w:r>
        <w:t>、文件以及声明需要保密的资料信息等商业秘密泄露给第三方。</w:t>
      </w:r>
    </w:p>
    <w:p>
      <w:pPr>
        <w:ind w:firstLine="480"/>
      </w:pPr>
      <w:r>
        <w:t>除法律规定或合同另有约定外，未经承包人同意，发包人不得将承包人提供的技术秘密及声明需要保密的资料信息等商业秘密泄露给第三方。</w:t>
      </w:r>
    </w:p>
    <w:p>
      <w:pPr>
        <w:pStyle w:val="13"/>
      </w:pPr>
      <w:bookmarkStart w:id="27" w:name="_Toc351203538"/>
      <w:bookmarkStart w:id="28" w:name="_Toc351203539"/>
      <w:r>
        <w:t>6</w:t>
      </w:r>
      <w:bookmarkStart w:id="29" w:name="_Toc337558763"/>
      <w:r>
        <w:t>. 安全文明施工与环境保护</w:t>
      </w:r>
      <w:bookmarkEnd w:id="27"/>
      <w:bookmarkEnd w:id="29"/>
    </w:p>
    <w:p>
      <w:pPr>
        <w:pStyle w:val="5"/>
        <w:ind w:firstLine="482"/>
      </w:pPr>
      <w:bookmarkStart w:id="30" w:name="_Toc337558764"/>
      <w:r>
        <w:t>安全文明施工</w:t>
      </w:r>
      <w:bookmarkEnd w:id="28"/>
    </w:p>
    <w:bookmarkEnd w:id="30"/>
    <w:p>
      <w:pPr>
        <w:ind w:firstLine="480"/>
      </w:pPr>
      <w:r>
        <w:t>特别安全生产事项</w:t>
      </w:r>
    </w:p>
    <w:p>
      <w:pPr>
        <w:ind w:firstLine="480"/>
      </w:pPr>
      <w:r>
        <w:t>需单独编制危险性较大分部分项专项工程施工方案的，及要求进行专家论证的超过一定规模的危险性较大的分部分项工程，承包人应及时编制和组织论证</w:t>
      </w:r>
      <w:r>
        <w:rPr>
          <w:rFonts w:hint="eastAsia"/>
          <w:b/>
          <w:i/>
          <w:u w:val="single"/>
        </w:rPr>
        <w:t>，并运用</w:t>
      </w:r>
      <w:r>
        <w:rPr>
          <w:b/>
          <w:i/>
          <w:u w:val="single"/>
        </w:rPr>
        <w:t>BIM技术</w:t>
      </w:r>
      <w:r>
        <w:rPr>
          <w:rFonts w:hint="eastAsia"/>
          <w:b/>
          <w:i/>
          <w:u w:val="single"/>
        </w:rPr>
        <w:t>进行专项</w:t>
      </w:r>
      <w:r>
        <w:rPr>
          <w:b/>
          <w:i/>
          <w:u w:val="single"/>
        </w:rPr>
        <w:t>施工方案</w:t>
      </w:r>
      <w:r>
        <w:rPr>
          <w:rFonts w:hint="eastAsia"/>
          <w:b/>
          <w:i/>
          <w:u w:val="single"/>
        </w:rPr>
        <w:t>模拟</w:t>
      </w:r>
      <w:r>
        <w:t>。</w:t>
      </w:r>
    </w:p>
    <w:p>
      <w:pPr>
        <w:pStyle w:val="13"/>
      </w:pPr>
      <w:bookmarkStart w:id="31" w:name="_Toc351203542"/>
      <w:r>
        <w:t>7</w:t>
      </w:r>
      <w:bookmarkStart w:id="32" w:name="_Toc337558767"/>
      <w:r>
        <w:t>. 工期和进度</w:t>
      </w:r>
      <w:bookmarkEnd w:id="31"/>
    </w:p>
    <w:bookmarkEnd w:id="32"/>
    <w:p>
      <w:pPr>
        <w:pStyle w:val="5"/>
        <w:ind w:firstLine="482"/>
      </w:pPr>
      <w:bookmarkStart w:id="33" w:name="_Toc351203543"/>
      <w:bookmarkStart w:id="34" w:name="_Toc337558768"/>
      <w:r>
        <w:t>施工组织设计</w:t>
      </w:r>
      <w:bookmarkEnd w:id="33"/>
    </w:p>
    <w:bookmarkEnd w:id="34"/>
    <w:p>
      <w:pPr>
        <w:autoSpaceDE w:val="0"/>
        <w:autoSpaceDN w:val="0"/>
        <w:adjustRightInd w:val="0"/>
        <w:ind w:firstLine="480"/>
        <w:rPr>
          <w:color w:val="000000"/>
          <w:kern w:val="0"/>
          <w:szCs w:val="24"/>
        </w:rPr>
      </w:pPr>
      <w:r>
        <w:rPr>
          <w:color w:val="000000"/>
          <w:kern w:val="0"/>
          <w:szCs w:val="24"/>
        </w:rPr>
        <w:t>施工组织设计的内容</w:t>
      </w:r>
    </w:p>
    <w:p>
      <w:pPr>
        <w:ind w:firstLine="480"/>
      </w:pPr>
      <w:r>
        <w:t>施工组织设计应包含以下内容：</w:t>
      </w:r>
    </w:p>
    <w:p>
      <w:pPr>
        <w:autoSpaceDE w:val="0"/>
        <w:autoSpaceDN w:val="0"/>
        <w:adjustRightInd w:val="0"/>
        <w:ind w:firstLine="480"/>
        <w:rPr>
          <w:color w:val="000000"/>
          <w:kern w:val="0"/>
          <w:szCs w:val="24"/>
        </w:rPr>
      </w:pPr>
      <w:r>
        <w:rPr>
          <w:color w:val="000000"/>
          <w:kern w:val="0"/>
          <w:szCs w:val="24"/>
        </w:rPr>
        <w:t xml:space="preserve">（1）施工方案； </w:t>
      </w:r>
    </w:p>
    <w:p>
      <w:pPr>
        <w:autoSpaceDE w:val="0"/>
        <w:autoSpaceDN w:val="0"/>
        <w:adjustRightInd w:val="0"/>
        <w:ind w:firstLine="480"/>
        <w:rPr>
          <w:color w:val="000000"/>
          <w:kern w:val="0"/>
          <w:szCs w:val="24"/>
        </w:rPr>
      </w:pPr>
      <w:r>
        <w:rPr>
          <w:color w:val="000000"/>
          <w:kern w:val="0"/>
          <w:szCs w:val="24"/>
        </w:rPr>
        <w:t>（2）施工现场平面布置图；</w:t>
      </w:r>
    </w:p>
    <w:p>
      <w:pPr>
        <w:autoSpaceDE w:val="0"/>
        <w:autoSpaceDN w:val="0"/>
        <w:adjustRightInd w:val="0"/>
        <w:ind w:firstLine="480"/>
        <w:rPr>
          <w:color w:val="000000"/>
          <w:kern w:val="0"/>
          <w:szCs w:val="24"/>
        </w:rPr>
      </w:pPr>
      <w:r>
        <w:rPr>
          <w:color w:val="000000"/>
          <w:kern w:val="0"/>
          <w:szCs w:val="24"/>
        </w:rPr>
        <w:t>（3）施工进度计划</w:t>
      </w:r>
      <w:r>
        <w:rPr>
          <w:b/>
          <w:i/>
          <w:szCs w:val="24"/>
          <w:u w:val="single"/>
        </w:rPr>
        <w:t>及配套基于BIM的4D进度模拟计划</w:t>
      </w:r>
      <w:r>
        <w:rPr>
          <w:color w:val="000000"/>
          <w:kern w:val="0"/>
          <w:szCs w:val="24"/>
        </w:rPr>
        <w:t xml:space="preserve">和保证措施； </w:t>
      </w:r>
    </w:p>
    <w:p>
      <w:pPr>
        <w:autoSpaceDE w:val="0"/>
        <w:autoSpaceDN w:val="0"/>
        <w:adjustRightInd w:val="0"/>
        <w:ind w:firstLine="480"/>
        <w:rPr>
          <w:color w:val="000000"/>
          <w:kern w:val="0"/>
          <w:szCs w:val="24"/>
        </w:rPr>
      </w:pPr>
      <w:r>
        <w:rPr>
          <w:color w:val="000000"/>
          <w:kern w:val="0"/>
          <w:szCs w:val="24"/>
        </w:rPr>
        <w:t>（4）劳动力及材料供应计划；</w:t>
      </w:r>
    </w:p>
    <w:p>
      <w:pPr>
        <w:autoSpaceDE w:val="0"/>
        <w:autoSpaceDN w:val="0"/>
        <w:adjustRightInd w:val="0"/>
        <w:ind w:firstLine="480"/>
        <w:rPr>
          <w:color w:val="000000"/>
          <w:kern w:val="0"/>
          <w:szCs w:val="24"/>
        </w:rPr>
      </w:pPr>
      <w:r>
        <w:rPr>
          <w:rFonts w:hint="eastAsia"/>
          <w:color w:val="000000"/>
          <w:kern w:val="0"/>
          <w:szCs w:val="24"/>
        </w:rPr>
        <w:t>（5）</w:t>
      </w:r>
      <w:r>
        <w:rPr>
          <w:rFonts w:hint="eastAsia"/>
          <w:b/>
          <w:i/>
          <w:szCs w:val="24"/>
          <w:u w:val="single"/>
        </w:rPr>
        <w:t>BIM工作实施方案及软硬件配置；</w:t>
      </w:r>
    </w:p>
    <w:p>
      <w:pPr>
        <w:autoSpaceDE w:val="0"/>
        <w:autoSpaceDN w:val="0"/>
        <w:adjustRightInd w:val="0"/>
        <w:ind w:firstLine="480"/>
        <w:rPr>
          <w:color w:val="000000"/>
          <w:kern w:val="0"/>
          <w:szCs w:val="24"/>
        </w:rPr>
      </w:pPr>
      <w:r>
        <w:rPr>
          <w:color w:val="000000"/>
          <w:kern w:val="0"/>
          <w:szCs w:val="24"/>
        </w:rPr>
        <w:t>（6）施工机械设备的选用；</w:t>
      </w:r>
    </w:p>
    <w:p>
      <w:pPr>
        <w:autoSpaceDE w:val="0"/>
        <w:autoSpaceDN w:val="0"/>
        <w:adjustRightInd w:val="0"/>
        <w:ind w:firstLine="480"/>
        <w:rPr>
          <w:color w:val="000000"/>
          <w:kern w:val="0"/>
          <w:szCs w:val="24"/>
        </w:rPr>
      </w:pPr>
      <w:r>
        <w:rPr>
          <w:color w:val="000000"/>
          <w:kern w:val="0"/>
          <w:szCs w:val="24"/>
        </w:rPr>
        <w:t>（7）质量保证体系及措施；</w:t>
      </w:r>
    </w:p>
    <w:p>
      <w:pPr>
        <w:autoSpaceDE w:val="0"/>
        <w:autoSpaceDN w:val="0"/>
        <w:adjustRightInd w:val="0"/>
        <w:ind w:firstLine="480"/>
        <w:rPr>
          <w:color w:val="000000"/>
          <w:kern w:val="0"/>
          <w:szCs w:val="24"/>
        </w:rPr>
      </w:pPr>
      <w:r>
        <w:rPr>
          <w:color w:val="000000"/>
          <w:kern w:val="0"/>
          <w:szCs w:val="24"/>
        </w:rPr>
        <w:t>（8）安全生产、文明施工措施；</w:t>
      </w:r>
    </w:p>
    <w:p>
      <w:pPr>
        <w:autoSpaceDE w:val="0"/>
        <w:autoSpaceDN w:val="0"/>
        <w:adjustRightInd w:val="0"/>
        <w:ind w:firstLine="480"/>
        <w:rPr>
          <w:color w:val="000000"/>
          <w:kern w:val="0"/>
          <w:szCs w:val="24"/>
        </w:rPr>
      </w:pPr>
      <w:r>
        <w:rPr>
          <w:color w:val="000000"/>
          <w:kern w:val="0"/>
          <w:szCs w:val="24"/>
        </w:rPr>
        <w:t>（9）环境保护、成本控制措施</w:t>
      </w:r>
      <w:r>
        <w:rPr>
          <w:rFonts w:hint="eastAsia"/>
          <w:color w:val="000000"/>
          <w:kern w:val="0"/>
          <w:szCs w:val="24"/>
        </w:rPr>
        <w:t>；</w:t>
      </w:r>
    </w:p>
    <w:p>
      <w:pPr>
        <w:ind w:firstLine="480"/>
        <w:rPr>
          <w:color w:val="000000"/>
          <w:kern w:val="0"/>
          <w:szCs w:val="24"/>
        </w:rPr>
      </w:pPr>
      <w:r>
        <w:rPr>
          <w:rFonts w:hint="eastAsia"/>
          <w:color w:val="000000"/>
          <w:kern w:val="0"/>
          <w:szCs w:val="24"/>
        </w:rPr>
        <w:t>（</w:t>
      </w:r>
      <w:r>
        <w:rPr>
          <w:color w:val="000000"/>
          <w:kern w:val="0"/>
          <w:szCs w:val="24"/>
        </w:rPr>
        <w:t>10</w:t>
      </w:r>
      <w:r>
        <w:rPr>
          <w:rFonts w:hint="eastAsia"/>
          <w:color w:val="000000"/>
          <w:kern w:val="0"/>
          <w:szCs w:val="24"/>
        </w:rPr>
        <w:t>）合同当事人约定的其他内容</w:t>
      </w:r>
      <w:r>
        <w:rPr>
          <w:color w:val="000000"/>
          <w:kern w:val="0"/>
          <w:szCs w:val="24"/>
        </w:rPr>
        <w:t>。</w:t>
      </w:r>
    </w:p>
    <w:p>
      <w:pPr>
        <w:autoSpaceDE w:val="0"/>
        <w:autoSpaceDN w:val="0"/>
        <w:adjustRightInd w:val="0"/>
        <w:ind w:firstLine="480"/>
        <w:rPr>
          <w:color w:val="000000"/>
          <w:kern w:val="0"/>
          <w:szCs w:val="24"/>
        </w:rPr>
      </w:pPr>
      <w:r>
        <w:rPr>
          <w:color w:val="000000"/>
          <w:kern w:val="0"/>
          <w:szCs w:val="24"/>
        </w:rPr>
        <w:t>施工组织设计的提交和修改</w:t>
      </w:r>
    </w:p>
    <w:p>
      <w:pPr>
        <w:ind w:firstLine="480"/>
      </w:pPr>
      <w:r>
        <w:t>除专用合同条款另有约定外，承包人应在合同签订后14天内，但至迟不得晚于第7.3.2项</w:t>
      </w:r>
      <w:r>
        <w:rPr>
          <w:rFonts w:hint="eastAsia"/>
        </w:rPr>
        <w:t>〔</w:t>
      </w:r>
      <w:r>
        <w:t>开工通知</w:t>
      </w:r>
      <w:r>
        <w:rPr>
          <w:rFonts w:hint="eastAsia"/>
        </w:rPr>
        <w:t>〕</w:t>
      </w:r>
      <w:r>
        <w:t>载明的开工日期前7天，向监理人提交详细的施工组织设计，并由监理人报送发包人。</w:t>
      </w:r>
      <w:r>
        <w:rPr>
          <w:rFonts w:hint="eastAsia"/>
        </w:rPr>
        <w:t>除专用合同条款另有约定外，发包人和监理人应在监理人收到施工组织设计后7天内确认或提出修改意见</w:t>
      </w:r>
      <w:r>
        <w:t>。对发包人和监理人提出的合理意见和要求，承包人应自费修改完善。根据工程实际情况需要修改施工组织设计的，承包人应向发包人和监理人提交修改后的施工组织设计。</w:t>
      </w:r>
    </w:p>
    <w:p>
      <w:pPr>
        <w:ind w:firstLine="480"/>
      </w:pPr>
      <w:r>
        <w:t>施工进度计划</w:t>
      </w:r>
      <w:r>
        <w:rPr>
          <w:b/>
          <w:i/>
          <w:u w:val="single"/>
        </w:rPr>
        <w:t>及配套基于BIM的4D进度模拟计划</w:t>
      </w:r>
      <w:r>
        <w:t>的编制和修改按照第7.2款</w:t>
      </w:r>
      <w:r>
        <w:rPr>
          <w:rFonts w:hint="eastAsia"/>
        </w:rPr>
        <w:t>〔</w:t>
      </w:r>
      <w:r>
        <w:t>施工进度计划</w:t>
      </w:r>
      <w:r>
        <w:rPr>
          <w:rFonts w:hint="eastAsia"/>
        </w:rPr>
        <w:t>〕</w:t>
      </w:r>
      <w:r>
        <w:t>执行。</w:t>
      </w:r>
    </w:p>
    <w:p>
      <w:pPr>
        <w:pStyle w:val="5"/>
        <w:ind w:firstLine="482"/>
      </w:pPr>
      <w:bookmarkStart w:id="35" w:name="_Toc351203544"/>
      <w:bookmarkStart w:id="36" w:name="_Toc337558769"/>
      <w:r>
        <w:t>施工进度计划</w:t>
      </w:r>
      <w:bookmarkEnd w:id="35"/>
    </w:p>
    <w:bookmarkEnd w:id="36"/>
    <w:p>
      <w:pPr>
        <w:ind w:firstLine="480"/>
      </w:pPr>
      <w:r>
        <w:t>施工进度计划的编制</w:t>
      </w:r>
    </w:p>
    <w:p>
      <w:pPr>
        <w:ind w:firstLine="480"/>
      </w:pPr>
      <w:r>
        <w:t>承包人应按照第7.1款</w:t>
      </w:r>
      <w:r>
        <w:rPr>
          <w:rFonts w:hint="eastAsia"/>
        </w:rPr>
        <w:t>〔</w:t>
      </w:r>
      <w:r>
        <w:t>施工组织设计</w:t>
      </w:r>
      <w:r>
        <w:rPr>
          <w:rFonts w:hint="eastAsia"/>
        </w:rPr>
        <w:t>〕</w:t>
      </w:r>
      <w:r>
        <w:t>约定提交详细的施工进度计划</w:t>
      </w:r>
      <w:r>
        <w:rPr>
          <w:b/>
          <w:i/>
          <w:u w:val="single"/>
        </w:rPr>
        <w:t>及配套基于BIM的4D进度模拟计划</w:t>
      </w:r>
      <w:r>
        <w:t>，施工进度计划</w:t>
      </w:r>
      <w:r>
        <w:rPr>
          <w:b/>
          <w:i/>
          <w:u w:val="single"/>
        </w:rPr>
        <w:t>及配套基于BIM的4D进度模拟计划</w:t>
      </w:r>
      <w:r>
        <w:t>的编制应当符合国家法律规定和一般工程实践惯例，施工进度计划</w:t>
      </w:r>
      <w:r>
        <w:rPr>
          <w:b/>
          <w:i/>
          <w:u w:val="single"/>
        </w:rPr>
        <w:t>及配套基于BIM的4D进度模拟计划</w:t>
      </w:r>
      <w:r>
        <w:t>经发包人批准后实施。施工进度计划</w:t>
      </w:r>
      <w:r>
        <w:rPr>
          <w:b/>
          <w:i/>
          <w:u w:val="single"/>
        </w:rPr>
        <w:t>及配套基于BIM的4D进度模拟计划</w:t>
      </w:r>
      <w:r>
        <w:t>是控制工程进度的依据，发包人和监理人有权按照施工进度计划</w:t>
      </w:r>
      <w:r>
        <w:rPr>
          <w:b/>
          <w:i/>
          <w:u w:val="single"/>
        </w:rPr>
        <w:t>及配套基于BIM的4D进度模拟计划</w:t>
      </w:r>
      <w:r>
        <w:t>检查工程进度情况。</w:t>
      </w:r>
    </w:p>
    <w:p>
      <w:pPr>
        <w:ind w:firstLine="480"/>
        <w:rPr>
          <w:kern w:val="0"/>
        </w:rPr>
      </w:pPr>
      <w:r>
        <w:rPr>
          <w:kern w:val="0"/>
        </w:rPr>
        <w:t>施工进度计划</w:t>
      </w:r>
      <w:r>
        <w:t>的修订</w:t>
      </w:r>
    </w:p>
    <w:p>
      <w:pPr>
        <w:ind w:firstLine="480"/>
      </w:pPr>
      <w:r>
        <w:t>施工进度计划</w:t>
      </w:r>
      <w:r>
        <w:rPr>
          <w:b/>
          <w:i/>
          <w:u w:val="single"/>
        </w:rPr>
        <w:t>及配套基于BIM的4D进度模拟计划</w:t>
      </w:r>
      <w:r>
        <w:t>不符合合同要求或与工程的实际进度不一致的，承包人应向监理人提交修订的施工进度计划</w:t>
      </w:r>
      <w:r>
        <w:rPr>
          <w:b/>
          <w:i/>
          <w:u w:val="single"/>
        </w:rPr>
        <w:t>及配套基于BIM的4D进度模拟计划</w:t>
      </w:r>
      <w:r>
        <w:t>，并附具有关措施和相关资料，由监理人报送发包人。除专用合同条款另有约定外，发包人和监理人应在收到修订的施工进度计划</w:t>
      </w:r>
      <w:r>
        <w:rPr>
          <w:b/>
          <w:i/>
          <w:u w:val="single"/>
        </w:rPr>
        <w:t>及配套基于BIM的4D进度模拟计划</w:t>
      </w:r>
      <w:r>
        <w:t>后7天内完成审核和批准或提出修改意见。发包人和监理人对承包人提交的施工进度计划</w:t>
      </w:r>
      <w:r>
        <w:rPr>
          <w:b/>
          <w:i/>
          <w:u w:val="single"/>
        </w:rPr>
        <w:t>及配套基于BIM的4D进度模拟计划</w:t>
      </w:r>
      <w:r>
        <w:t>的确认，不能减轻或免除承包人根据法律规定和合同约定应承担的任何责任或义务。</w:t>
      </w:r>
    </w:p>
    <w:p>
      <w:pPr>
        <w:pStyle w:val="5"/>
        <w:ind w:firstLine="482"/>
      </w:pPr>
      <w:bookmarkStart w:id="37" w:name="_Toc351203545"/>
      <w:r>
        <w:t>开工</w:t>
      </w:r>
      <w:bookmarkEnd w:id="37"/>
    </w:p>
    <w:p>
      <w:pPr>
        <w:ind w:firstLine="480"/>
      </w:pPr>
      <w:r>
        <w:t>开工准备</w:t>
      </w:r>
    </w:p>
    <w:p>
      <w:pPr>
        <w:ind w:firstLine="480"/>
      </w:pPr>
      <w:r>
        <w:t>除专用合同条款另有约定外，承包人应按照第7.1款</w:t>
      </w:r>
      <w:r>
        <w:rPr>
          <w:rFonts w:hint="eastAsia"/>
        </w:rPr>
        <w:t>〔</w:t>
      </w:r>
      <w:r>
        <w:t>施工组织设计</w:t>
      </w:r>
      <w:r>
        <w:rPr>
          <w:rFonts w:hint="eastAsia"/>
        </w:rPr>
        <w:t>〕</w:t>
      </w:r>
      <w:r>
        <w:t>约定的期限，向监理人提交工程开工报审表，经监理人报发包人批准后执行。开工报审表应详细说明按施工进度计划</w:t>
      </w:r>
      <w:r>
        <w:rPr>
          <w:b/>
          <w:i/>
          <w:u w:val="single"/>
        </w:rPr>
        <w:t>及配套基于BIM的4D进度模拟计划</w:t>
      </w:r>
      <w:r>
        <w:t>正常施工所需的施工道路、临时设施、材料、工程设备、施工设备、施工人员等落实情况以及工程的进度安排。</w:t>
      </w:r>
    </w:p>
    <w:p>
      <w:pPr>
        <w:ind w:firstLine="480"/>
      </w:pPr>
      <w:r>
        <w:t>除专用合同条款另有约定外，合同当事人应按约定完成开工准备工作。</w:t>
      </w:r>
    </w:p>
    <w:p>
      <w:pPr>
        <w:pStyle w:val="5"/>
        <w:ind w:firstLine="482"/>
      </w:pPr>
      <w:bookmarkStart w:id="38" w:name="_Toc337558772"/>
      <w:bookmarkStart w:id="39" w:name="_Toc296503073"/>
      <w:bookmarkStart w:id="40" w:name="_Toc296346574"/>
      <w:r>
        <w:t>工期延误</w:t>
      </w:r>
    </w:p>
    <w:bookmarkEnd w:id="38"/>
    <w:bookmarkEnd w:id="39"/>
    <w:bookmarkEnd w:id="40"/>
    <w:p>
      <w:pPr>
        <w:ind w:firstLine="480"/>
        <w:rPr>
          <w:color w:val="000000"/>
          <w:kern w:val="0"/>
          <w:szCs w:val="24"/>
        </w:rPr>
      </w:pPr>
      <w:r>
        <w:rPr>
          <w:color w:val="000000"/>
          <w:kern w:val="0"/>
          <w:szCs w:val="24"/>
        </w:rPr>
        <w:t>因发包人原因导致工期延误</w:t>
      </w:r>
    </w:p>
    <w:p>
      <w:pPr>
        <w:ind w:firstLine="480"/>
      </w:pPr>
      <w:r>
        <w:t xml:space="preserve">在合同履行过程中，因下列情况导致工期延误和（或）费用增加的，由发包人承担由此延误的工期和（或）增加的费用，且发包人应支付承包人合理的利润： </w:t>
      </w:r>
    </w:p>
    <w:p>
      <w:pPr>
        <w:ind w:firstLine="480"/>
      </w:pPr>
      <w:r>
        <w:t>发包人未能按合同约定提供图纸</w:t>
      </w:r>
      <w:r>
        <w:rPr>
          <w:b/>
          <w:i/>
          <w:u w:val="single"/>
        </w:rPr>
        <w:t>及配套BIM模型</w:t>
      </w:r>
      <w:r>
        <w:t>或所提供图纸</w:t>
      </w:r>
      <w:r>
        <w:rPr>
          <w:b/>
          <w:i/>
          <w:u w:val="single"/>
        </w:rPr>
        <w:t>及配套BIM模型</w:t>
      </w:r>
      <w:r>
        <w:t>不符合合同约定的；</w:t>
      </w:r>
    </w:p>
    <w:p>
      <w:pPr>
        <w:ind w:firstLine="480"/>
      </w:pPr>
      <w:r>
        <w:t>因发包人原因未按计划开工日期开工的，发包人应按实际开工日期顺延竣工日期，确保实际工期不低于合同约定的工期总日历天数。因发包人原因导致工期延误需要修订施工进度计划</w:t>
      </w:r>
      <w:r>
        <w:rPr>
          <w:b/>
          <w:i/>
          <w:u w:val="single"/>
        </w:rPr>
        <w:t>及配套基于BIM的4D进度模拟计划</w:t>
      </w:r>
      <w:r>
        <w:t>的，按照第7.2.2项</w:t>
      </w:r>
      <w:r>
        <w:rPr>
          <w:rFonts w:hint="eastAsia"/>
        </w:rPr>
        <w:t>〔</w:t>
      </w:r>
      <w:r>
        <w:t>施工进度计划的修订</w:t>
      </w:r>
      <w:r>
        <w:rPr>
          <w:rFonts w:hint="eastAsia"/>
        </w:rPr>
        <w:t>〕</w:t>
      </w:r>
      <w:r>
        <w:t>执行。</w:t>
      </w:r>
    </w:p>
    <w:p>
      <w:pPr>
        <w:pStyle w:val="5"/>
        <w:ind w:firstLine="482"/>
      </w:pPr>
      <w:bookmarkStart w:id="41" w:name="_Toc351203551"/>
      <w:r>
        <w:t>提前竣工</w:t>
      </w:r>
      <w:bookmarkEnd w:id="41"/>
    </w:p>
    <w:p>
      <w:pPr>
        <w:ind w:firstLine="480"/>
      </w:pPr>
      <w:r>
        <w:t>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w:t>
      </w:r>
      <w:r>
        <w:rPr>
          <w:b/>
          <w:i/>
          <w:u w:val="single"/>
        </w:rPr>
        <w:t>及配套基于BIM的4D进度模拟计划</w:t>
      </w:r>
      <w:r>
        <w:t>，由此增加的费用由发包人承担。</w:t>
      </w:r>
      <w:r>
        <w:rPr>
          <w:rFonts w:hint="eastAsia"/>
        </w:rPr>
        <w:t>承包人认为提前竣工指示无法执行的，应向监理人和发包人提出书面异议，发包人和监理人应在收到异议后7天内予以答复。任何情况下，发包人不得压缩合理工期。</w:t>
      </w:r>
    </w:p>
    <w:p>
      <w:pPr>
        <w:pStyle w:val="13"/>
      </w:pPr>
      <w:bookmarkStart w:id="42" w:name="_Toc351203552"/>
      <w:r>
        <w:t>8</w:t>
      </w:r>
      <w:bookmarkStart w:id="43" w:name="_Toc337558776"/>
      <w:bookmarkStart w:id="44" w:name="_Toc296503058"/>
      <w:bookmarkStart w:id="45" w:name="_Toc296346559"/>
      <w:r>
        <w:t>. 材料与设备</w:t>
      </w:r>
      <w:bookmarkEnd w:id="42"/>
    </w:p>
    <w:bookmarkEnd w:id="43"/>
    <w:bookmarkEnd w:id="44"/>
    <w:bookmarkEnd w:id="45"/>
    <w:p>
      <w:pPr>
        <w:pStyle w:val="5"/>
        <w:ind w:firstLine="482"/>
      </w:pPr>
      <w:bookmarkStart w:id="46" w:name="_Toc351203553"/>
      <w:bookmarkStart w:id="47" w:name="_Toc296346560"/>
      <w:bookmarkStart w:id="48" w:name="_Toc337558777"/>
      <w:bookmarkStart w:id="49" w:name="_Toc296503059"/>
      <w:r>
        <w:t>发包人供应材料与工程设备</w:t>
      </w:r>
      <w:bookmarkEnd w:id="46"/>
    </w:p>
    <w:bookmarkEnd w:id="47"/>
    <w:bookmarkEnd w:id="48"/>
    <w:bookmarkEnd w:id="49"/>
    <w:p>
      <w:pPr>
        <w:ind w:firstLine="480"/>
      </w:pPr>
      <w:r>
        <w:t>承包人应提前30天通过监理人以书面形式通知发包人供应材料与工程设备进场。承包人按照第7.2.2项</w:t>
      </w:r>
      <w:r>
        <w:rPr>
          <w:rFonts w:hint="eastAsia"/>
        </w:rPr>
        <w:t>〔</w:t>
      </w:r>
      <w:r>
        <w:t>施工进度计划的修订</w:t>
      </w:r>
      <w:r>
        <w:rPr>
          <w:rFonts w:hint="eastAsia"/>
        </w:rPr>
        <w:t>〕</w:t>
      </w:r>
      <w:r>
        <w:t>约定修订施工进度计划</w:t>
      </w:r>
      <w:r>
        <w:rPr>
          <w:b/>
          <w:i/>
          <w:u w:val="single"/>
        </w:rPr>
        <w:t>及配套基于BIM的4D进度模拟计划</w:t>
      </w:r>
      <w:r>
        <w:t>时，需同时提交经修订后的发包人供应材料与工程设备的进场计划。</w:t>
      </w:r>
    </w:p>
    <w:p>
      <w:pPr>
        <w:pStyle w:val="5"/>
        <w:ind w:firstLine="482"/>
      </w:pPr>
      <w:bookmarkStart w:id="50" w:name="_Toc351203558"/>
      <w:r>
        <w:t>样品</w:t>
      </w:r>
      <w:bookmarkEnd w:id="50"/>
    </w:p>
    <w:p>
      <w:pPr>
        <w:ind w:firstLine="480"/>
      </w:pPr>
      <w:r>
        <w:t>样品的报送</w:t>
      </w:r>
      <w:r>
        <w:rPr>
          <w:rFonts w:hint="eastAsia"/>
        </w:rPr>
        <w:t>与封存</w:t>
      </w:r>
    </w:p>
    <w:p>
      <w:pPr>
        <w:ind w:firstLine="480"/>
      </w:pPr>
      <w:r>
        <w:t>承包人每次报送样品时应随附申报单，申报单应载明报送样品的相关数据和资料，并标明每件样品对应的图纸号</w:t>
      </w:r>
      <w:r>
        <w:rPr>
          <w:b/>
          <w:i/>
          <w:u w:val="single"/>
        </w:rPr>
        <w:t>及配套BIM模型</w:t>
      </w:r>
      <w:r>
        <w:rPr>
          <w:rFonts w:hint="eastAsia"/>
          <w:b/>
          <w:i/>
          <w:u w:val="single"/>
        </w:rPr>
        <w:t>版本</w:t>
      </w:r>
      <w:r>
        <w:rPr>
          <w:b/>
          <w:i/>
          <w:u w:val="single"/>
        </w:rPr>
        <w:t>号</w:t>
      </w:r>
      <w:r>
        <w:t>，预留监理人批复意见栏。监理人应在收到承包人报送的样品后7天向承包人回复经发包人签认的样品审批意见。</w:t>
      </w:r>
    </w:p>
    <w:p>
      <w:pPr>
        <w:pStyle w:val="13"/>
      </w:pPr>
      <w:bookmarkStart w:id="51" w:name="_Toc351203567"/>
      <w:r>
        <w:t>1</w:t>
      </w:r>
      <w:bookmarkStart w:id="52" w:name="_Toc337558787"/>
      <w:r>
        <w:t>0. 变更</w:t>
      </w:r>
      <w:bookmarkEnd w:id="51"/>
    </w:p>
    <w:bookmarkEnd w:id="52"/>
    <w:p>
      <w:pPr>
        <w:pStyle w:val="5"/>
        <w:ind w:firstLine="482"/>
      </w:pPr>
      <w:bookmarkStart w:id="53" w:name="_Toc351203569"/>
      <w:bookmarkStart w:id="54" w:name="_Toc337558789"/>
      <w:bookmarkStart w:id="55" w:name="_Toc296503085"/>
      <w:bookmarkStart w:id="56" w:name="_Toc296346586"/>
      <w:r>
        <w:t>变更权</w:t>
      </w:r>
      <w:bookmarkEnd w:id="53"/>
    </w:p>
    <w:bookmarkEnd w:id="54"/>
    <w:bookmarkEnd w:id="55"/>
    <w:bookmarkEnd w:id="56"/>
    <w:p>
      <w:pPr>
        <w:ind w:firstLine="480"/>
        <w:rPr>
          <w:color w:val="000000"/>
          <w:kern w:val="0"/>
          <w:szCs w:val="24"/>
        </w:rPr>
      </w:pPr>
      <w:r>
        <w:rPr>
          <w:color w:val="000000"/>
          <w:kern w:val="0"/>
          <w:szCs w:val="24"/>
        </w:rPr>
        <w:t>涉及设计变更的，应由设计人提供变更后的图纸</w:t>
      </w:r>
      <w:r>
        <w:rPr>
          <w:b/>
          <w:i/>
          <w:szCs w:val="24"/>
          <w:u w:val="single"/>
        </w:rPr>
        <w:t>及配套BIM模型</w:t>
      </w:r>
      <w:r>
        <w:rPr>
          <w:color w:val="000000"/>
          <w:kern w:val="0"/>
          <w:szCs w:val="24"/>
        </w:rPr>
        <w:t>和说明。如变更超过原设计标准或批准的建设规模时，发包人应及时办理规划、设计变更</w:t>
      </w:r>
      <w:r>
        <w:rPr>
          <w:rFonts w:hint="eastAsia"/>
          <w:color w:val="000000"/>
          <w:kern w:val="0"/>
          <w:szCs w:val="24"/>
        </w:rPr>
        <w:t>等</w:t>
      </w:r>
      <w:r>
        <w:rPr>
          <w:color w:val="000000"/>
          <w:kern w:val="0"/>
          <w:szCs w:val="24"/>
        </w:rPr>
        <w:t>审批手续。</w:t>
      </w:r>
    </w:p>
    <w:p>
      <w:pPr>
        <w:pStyle w:val="5"/>
        <w:ind w:firstLine="482"/>
      </w:pPr>
      <w:bookmarkStart w:id="57" w:name="_Toc351203574"/>
      <w:r>
        <w:t>暂估价</w:t>
      </w:r>
      <w:bookmarkEnd w:id="57"/>
    </w:p>
    <w:p>
      <w:pPr>
        <w:ind w:firstLine="480"/>
      </w:pPr>
      <w:r>
        <w:t>依法必须招标的暂估价项目</w:t>
      </w:r>
    </w:p>
    <w:p>
      <w:pPr>
        <w:ind w:firstLine="480"/>
      </w:pPr>
      <w:r>
        <w:t>对于依法必须招标的暂估价项目，采取以下第1种方式确定</w:t>
      </w:r>
      <w:r>
        <w:rPr>
          <w:rFonts w:hint="eastAsia"/>
        </w:rPr>
        <w:t>。合同当事人也可以在</w:t>
      </w:r>
      <w:r>
        <w:t>专用合同条款</w:t>
      </w:r>
      <w:r>
        <w:rPr>
          <w:rFonts w:hint="eastAsia"/>
        </w:rPr>
        <w:t>中选择其他招标方式。</w:t>
      </w:r>
    </w:p>
    <w:p>
      <w:pPr>
        <w:ind w:firstLine="480"/>
      </w:pPr>
      <w:r>
        <w:t>第1种方式：对于依法必须招标的暂估价项目，由承包人招标，对该暂估价项目的确认和批准按照以下约定执行：</w:t>
      </w:r>
    </w:p>
    <w:p>
      <w:pPr>
        <w:ind w:firstLine="480"/>
      </w:pPr>
      <w:r>
        <w:t>（1）承包人应当根据施工进度计划</w:t>
      </w:r>
      <w:r>
        <w:rPr>
          <w:b/>
          <w:i/>
          <w:u w:val="single"/>
        </w:rPr>
        <w:t>及配套基于BIM的4D进度模拟计划</w:t>
      </w:r>
      <w:r>
        <w:t>，在招标工作启动前14天将招标方案通过监理人报送发包人审查，发包人应当在收到承包人报送的招标方案后7天内批准或提出修改意见。承包人应当按照经过发包人批准的招标方案开展招标工作；</w:t>
      </w:r>
    </w:p>
    <w:p>
      <w:pPr>
        <w:ind w:firstLine="480"/>
      </w:pPr>
      <w:r>
        <w:t>（2）承包人应当根据施工进度计划</w:t>
      </w:r>
      <w:r>
        <w:rPr>
          <w:b/>
          <w:i/>
          <w:u w:val="single"/>
        </w:rPr>
        <w:t>及配套基于BIM的4D进度模拟计划</w:t>
      </w:r>
      <w:r>
        <w:t>，提前14天将招标文件通过监理人报送发包人审批，发包人应当在收到承包人报送的相关文件后7天内完成审批或提出修改意见；发包人有权确定招标控制价</w:t>
      </w:r>
      <w:r>
        <w:rPr>
          <w:rFonts w:hint="eastAsia"/>
        </w:rPr>
        <w:t>并按照法律规定参加评标</w:t>
      </w:r>
      <w:r>
        <w:t>；</w:t>
      </w:r>
    </w:p>
    <w:p>
      <w:pPr>
        <w:ind w:firstLine="480"/>
      </w:pPr>
      <w:r>
        <w:t>第2种方式：对于依法必须招标的暂估价项目，由发包人和承包人共同招标确定暂估价供应商或分包人的，承包人应按照施工进度计划</w:t>
      </w:r>
      <w:r>
        <w:rPr>
          <w:b/>
          <w:i/>
          <w:u w:val="single"/>
        </w:rPr>
        <w:t>及配套基于BIM的4D进度模拟计划</w:t>
      </w:r>
      <w:r>
        <w:t>，在招标工作启动前14天通知发包人，并提交暂估价招标方案和工作分工。发包人应在收到后7天内确认。确定中标人后，由发包人、承包人与中标人共同签订暂估价合同。</w:t>
      </w:r>
    </w:p>
    <w:p>
      <w:pPr>
        <w:ind w:firstLine="480"/>
        <w:rPr>
          <w:color w:val="000000"/>
          <w:kern w:val="0"/>
          <w:szCs w:val="24"/>
        </w:rPr>
      </w:pPr>
      <w:r>
        <w:rPr>
          <w:color w:val="000000"/>
          <w:kern w:val="0"/>
          <w:szCs w:val="24"/>
        </w:rPr>
        <w:t>不属于依法必须招标的暂估价项目</w:t>
      </w:r>
    </w:p>
    <w:p>
      <w:pPr>
        <w:ind w:firstLine="480"/>
      </w:pPr>
      <w:r>
        <w:t>除专用合同条款另有约定外，对于不属于依法必须招标的暂估价项目，采取以下第1种方式确定：</w:t>
      </w:r>
      <w:r>
        <w:rPr>
          <w:rFonts w:hint="eastAsia"/>
        </w:rPr>
        <w:t xml:space="preserve"> </w:t>
      </w:r>
    </w:p>
    <w:p>
      <w:pPr>
        <w:ind w:firstLine="480"/>
      </w:pPr>
      <w:r>
        <w:t>第1种方式：对于不属于依法必须招标的暂估价项目，按本项约定确认和批准：</w:t>
      </w:r>
    </w:p>
    <w:p>
      <w:pPr>
        <w:ind w:firstLine="480"/>
      </w:pPr>
      <w:r>
        <w:t>承包人应根据施工进度计划</w:t>
      </w:r>
      <w:r>
        <w:rPr>
          <w:b/>
          <w:i/>
          <w:u w:val="single"/>
        </w:rPr>
        <w:t>及配套基于BIM的4D进度模拟计划</w:t>
      </w:r>
      <w:r>
        <w:t>，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pStyle w:val="13"/>
      </w:pPr>
      <w:bookmarkStart w:id="58" w:name="_Toc337558799"/>
      <w:bookmarkStart w:id="59" w:name="_Toc351203580"/>
      <w:r>
        <w:t>12. 合同价格、计量与支付</w:t>
      </w:r>
      <w:bookmarkEnd w:id="58"/>
      <w:bookmarkEnd w:id="59"/>
    </w:p>
    <w:p>
      <w:pPr>
        <w:pStyle w:val="5"/>
        <w:ind w:firstLine="482"/>
      </w:pPr>
      <w:bookmarkStart w:id="60" w:name="_Toc351203583"/>
      <w:bookmarkStart w:id="61" w:name="_Toc337558802"/>
      <w:r>
        <w:t>计量</w:t>
      </w:r>
      <w:bookmarkEnd w:id="60"/>
    </w:p>
    <w:bookmarkEnd w:id="61"/>
    <w:p>
      <w:pPr>
        <w:ind w:firstLine="480"/>
        <w:rPr>
          <w:color w:val="000000"/>
          <w:szCs w:val="24"/>
        </w:rPr>
      </w:pPr>
      <w:r>
        <w:rPr>
          <w:color w:val="000000"/>
          <w:szCs w:val="24"/>
        </w:rPr>
        <w:t>计量原则</w:t>
      </w:r>
    </w:p>
    <w:p>
      <w:pPr>
        <w:ind w:firstLine="480"/>
      </w:pPr>
      <w:r>
        <w:t>工程量计量按照合同约定的工程量计算规则、图纸</w:t>
      </w:r>
      <w:r>
        <w:rPr>
          <w:b/>
          <w:i/>
          <w:u w:val="single"/>
        </w:rPr>
        <w:t>及配套BIM模型</w:t>
      </w:r>
      <w:r>
        <w:t>及变更指示</w:t>
      </w:r>
      <w:r>
        <w:rPr>
          <w:rFonts w:hint="eastAsia"/>
        </w:rPr>
        <w:t>等</w:t>
      </w:r>
      <w:r>
        <w:t>进行计量。工程量计算规则应以相关的国家标准、行业标准</w:t>
      </w:r>
      <w:r>
        <w:rPr>
          <w:rFonts w:hint="eastAsia"/>
        </w:rPr>
        <w:t>等</w:t>
      </w:r>
      <w:r>
        <w:t>为依据，由合同当事人在专用合同条款中约定。</w:t>
      </w:r>
    </w:p>
    <w:p>
      <w:pPr>
        <w:autoSpaceDE w:val="0"/>
        <w:autoSpaceDN w:val="0"/>
        <w:adjustRightInd w:val="0"/>
        <w:ind w:firstLine="480"/>
        <w:rPr>
          <w:color w:val="000000"/>
          <w:kern w:val="0"/>
          <w:szCs w:val="24"/>
        </w:rPr>
      </w:pPr>
      <w:r>
        <w:rPr>
          <w:color w:val="000000"/>
          <w:kern w:val="0"/>
          <w:szCs w:val="24"/>
        </w:rPr>
        <w:t>支付分解表</w:t>
      </w:r>
    </w:p>
    <w:p>
      <w:pPr>
        <w:ind w:firstLine="480"/>
        <w:rPr>
          <w:color w:val="000000"/>
          <w:kern w:val="0"/>
          <w:szCs w:val="24"/>
        </w:rPr>
      </w:pPr>
      <w:r>
        <w:rPr>
          <w:color w:val="000000"/>
          <w:kern w:val="0"/>
          <w:szCs w:val="24"/>
        </w:rPr>
        <w:t>单价合同的总价项目支付分解表的编制与审批</w:t>
      </w:r>
    </w:p>
    <w:p>
      <w:pPr>
        <w:ind w:firstLine="480"/>
      </w:pPr>
      <w:r>
        <w:t>除专用合同条款另有约定外，单价合同的总价项目，由承包人根据施工进度计划</w:t>
      </w:r>
      <w:r>
        <w:rPr>
          <w:b/>
          <w:i/>
          <w:u w:val="single"/>
        </w:rPr>
        <w:t>及配套基于BIM的4D进度模拟计划</w:t>
      </w:r>
      <w:r>
        <w:t>和总价项目的总价构成、费用性质、计划发生时间和相应工程量等因素按月进行分解，形成支付分解表，其编制与审批参照总价合同支付分解表的编制与审批执行。</w:t>
      </w:r>
    </w:p>
    <w:p>
      <w:pPr>
        <w:widowControl/>
        <w:spacing w:line="240" w:lineRule="auto"/>
        <w:ind w:firstLine="0" w:firstLineChars="0"/>
        <w:jc w:val="left"/>
        <w:rPr>
          <w:rFonts w:eastAsia="黑体" w:cstheme="majorBidi"/>
          <w:b/>
          <w:sz w:val="32"/>
          <w:szCs w:val="32"/>
        </w:rPr>
      </w:pPr>
      <w:r>
        <w:br w:type="page"/>
      </w:r>
    </w:p>
    <w:p>
      <w:pPr>
        <w:pStyle w:val="2"/>
        <w:ind w:firstLine="0" w:firstLineChars="0"/>
        <w:rPr>
          <w:b w:val="0"/>
        </w:rPr>
      </w:pPr>
      <w:r>
        <w:t xml:space="preserve">第三部分 </w:t>
      </w:r>
      <w:r>
        <w:rPr>
          <w:rFonts w:hint="eastAsia"/>
        </w:rPr>
        <w:t>专用合同条款</w:t>
      </w:r>
    </w:p>
    <w:p>
      <w:pPr>
        <w:pStyle w:val="13"/>
      </w:pPr>
      <w:bookmarkStart w:id="62" w:name="_Toc351203633"/>
      <w:r>
        <w:t>1</w:t>
      </w:r>
      <w:bookmarkStart w:id="63" w:name="_Toc292559361"/>
      <w:bookmarkStart w:id="64" w:name="_Toc292559866"/>
      <w:bookmarkStart w:id="65" w:name="_Toc296346657"/>
      <w:bookmarkStart w:id="66" w:name="_Toc296347155"/>
      <w:bookmarkStart w:id="67" w:name="_Toc296503156"/>
      <w:bookmarkStart w:id="68" w:name="_Toc296890984"/>
      <w:bookmarkStart w:id="69" w:name="_Toc296891196"/>
      <w:bookmarkStart w:id="70" w:name="_Toc296944495"/>
      <w:bookmarkStart w:id="71" w:name="_Toc297048342"/>
      <w:bookmarkStart w:id="72" w:name="_Toc297120456"/>
      <w:r>
        <w:t>. 一般约定</w:t>
      </w:r>
      <w:bookmarkEnd w:id="62"/>
    </w:p>
    <w:bookmarkEnd w:id="63"/>
    <w:bookmarkEnd w:id="64"/>
    <w:bookmarkEnd w:id="65"/>
    <w:bookmarkEnd w:id="66"/>
    <w:bookmarkEnd w:id="67"/>
    <w:bookmarkEnd w:id="68"/>
    <w:bookmarkEnd w:id="69"/>
    <w:bookmarkEnd w:id="70"/>
    <w:bookmarkEnd w:id="71"/>
    <w:bookmarkEnd w:id="72"/>
    <w:p>
      <w:pPr>
        <w:pStyle w:val="5"/>
        <w:ind w:firstLine="482"/>
      </w:pPr>
      <w:r>
        <w:t>图纸及</w:t>
      </w:r>
      <w:r>
        <w:rPr>
          <w:i/>
          <w:u w:val="single"/>
        </w:rPr>
        <w:t>配套BIM模型</w:t>
      </w:r>
      <w:r>
        <w:t>和承包人文件</w:t>
      </w:r>
      <w:r>
        <w:tab/>
      </w:r>
    </w:p>
    <w:p>
      <w:pPr>
        <w:ind w:firstLine="480"/>
      </w:pPr>
      <w:r>
        <w:t>图纸</w:t>
      </w:r>
      <w:r>
        <w:rPr>
          <w:b/>
          <w:i/>
          <w:u w:val="single"/>
        </w:rPr>
        <w:t>及配套BIM模型</w:t>
      </w:r>
      <w:r>
        <w:t>的提供</w:t>
      </w:r>
    </w:p>
    <w:p>
      <w:pPr>
        <w:ind w:firstLine="480"/>
      </w:pPr>
      <w:r>
        <w:t>发包人向承包人提供图纸</w:t>
      </w:r>
      <w:r>
        <w:rPr>
          <w:b/>
          <w:i/>
        </w:rPr>
        <w:t>及配套BIM模型</w:t>
      </w:r>
      <w:r>
        <w:t>的期限：</w:t>
      </w:r>
      <w:r>
        <w:rPr>
          <w:u w:val="single"/>
        </w:rPr>
        <w:t xml:space="preserve">    </w:t>
      </w:r>
      <w:r>
        <w:rPr>
          <w:rFonts w:hint="eastAsia"/>
          <w:u w:val="single"/>
        </w:rPr>
        <w:t xml:space="preserve">           </w:t>
      </w:r>
      <w:r>
        <w:rPr>
          <w:u w:val="single"/>
        </w:rPr>
        <w:t xml:space="preserve">  </w:t>
      </w:r>
      <w:r>
        <w:t>；</w:t>
      </w:r>
    </w:p>
    <w:p>
      <w:pPr>
        <w:ind w:firstLine="480"/>
      </w:pPr>
      <w:r>
        <w:t>发包人向承包人提供图纸</w:t>
      </w:r>
      <w:r>
        <w:rPr>
          <w:b/>
          <w:i/>
        </w:rPr>
        <w:t>及配套BIM模型</w:t>
      </w:r>
      <w:r>
        <w:t>的数量：</w:t>
      </w:r>
      <w:r>
        <w:rPr>
          <w:u w:val="single"/>
        </w:rPr>
        <w:t xml:space="preserve">    </w:t>
      </w:r>
      <w:r>
        <w:rPr>
          <w:rFonts w:hint="eastAsia"/>
          <w:u w:val="single"/>
        </w:rPr>
        <w:t xml:space="preserve">           </w:t>
      </w:r>
      <w:r>
        <w:rPr>
          <w:u w:val="single"/>
        </w:rPr>
        <w:t xml:space="preserve">  </w:t>
      </w:r>
      <w:r>
        <w:t>；</w:t>
      </w:r>
    </w:p>
    <w:p>
      <w:pPr>
        <w:ind w:firstLine="480"/>
      </w:pPr>
      <w:r>
        <w:t>发包人向承包人提供图纸</w:t>
      </w:r>
      <w:r>
        <w:rPr>
          <w:b/>
          <w:i/>
        </w:rPr>
        <w:t>及配套BIM模型</w:t>
      </w:r>
      <w:r>
        <w:t>的内容：</w:t>
      </w:r>
      <w:r>
        <w:rPr>
          <w:u w:val="single"/>
        </w:rPr>
        <w:t xml:space="preserve">    </w:t>
      </w:r>
      <w:r>
        <w:rPr>
          <w:rFonts w:hint="eastAsia"/>
          <w:u w:val="single"/>
        </w:rPr>
        <w:t xml:space="preserve">       </w:t>
      </w:r>
      <w:r>
        <w:rPr>
          <w:u w:val="single"/>
        </w:rPr>
        <w:t xml:space="preserve">      </w:t>
      </w:r>
      <w:r>
        <w:t>。</w:t>
      </w:r>
    </w:p>
    <w:p>
      <w:pPr>
        <w:ind w:firstLine="480"/>
      </w:pPr>
      <w:r>
        <w:t>现场图纸</w:t>
      </w:r>
      <w:r>
        <w:rPr>
          <w:b/>
          <w:i/>
          <w:u w:val="single"/>
        </w:rPr>
        <w:t>及配套BIM模型</w:t>
      </w:r>
      <w:r>
        <w:t>准备</w:t>
      </w:r>
    </w:p>
    <w:p>
      <w:pPr>
        <w:ind w:firstLine="480"/>
      </w:pPr>
      <w:r>
        <w:t>关于现场图纸</w:t>
      </w:r>
      <w:r>
        <w:rPr>
          <w:b/>
          <w:i/>
        </w:rPr>
        <w:t>及配套BIM模型</w:t>
      </w:r>
      <w:r>
        <w:t>准备的约定：</w:t>
      </w:r>
      <w:r>
        <w:rPr>
          <w:u w:val="single"/>
        </w:rPr>
        <w:t xml:space="preserve">    </w:t>
      </w:r>
      <w:r>
        <w:rPr>
          <w:rFonts w:hint="eastAsia"/>
          <w:u w:val="single"/>
        </w:rPr>
        <w:t xml:space="preserve">           </w:t>
      </w:r>
      <w:r>
        <w:rPr>
          <w:u w:val="single"/>
        </w:rPr>
        <w:t xml:space="preserve">  </w:t>
      </w:r>
      <w:r>
        <w:t>。</w:t>
      </w:r>
    </w:p>
    <w:p>
      <w:pPr>
        <w:pStyle w:val="5"/>
        <w:ind w:firstLine="482"/>
      </w:pPr>
      <w:r>
        <w:t>知识产权</w:t>
      </w:r>
    </w:p>
    <w:p>
      <w:pPr>
        <w:ind w:firstLine="480"/>
      </w:pPr>
      <w:r>
        <w:t>关于发包人提供给承包人的图纸</w:t>
      </w:r>
      <w:r>
        <w:rPr>
          <w:b/>
          <w:i/>
          <w:u w:val="single"/>
        </w:rPr>
        <w:t>及配套BIM模型</w:t>
      </w:r>
      <w:r>
        <w:t>、发包人为实施工程自行编制或委托编制的技术规范以及反映发包人关于合同要求或其他类似性质的文件的著作权的归属：</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w:t>
      </w:r>
    </w:p>
    <w:p>
      <w:pPr>
        <w:ind w:firstLine="480"/>
      </w:pPr>
      <w:r>
        <w:t>关于发包人提供的上述文件的使用限制的要求：</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pPr>
        <w:ind w:firstLine="480"/>
        <w:rPr>
          <w:color w:val="000000"/>
          <w:szCs w:val="24"/>
        </w:rPr>
      </w:pPr>
      <w:r>
        <w:rPr>
          <w:color w:val="000000"/>
          <w:szCs w:val="24"/>
          <w:u w:val="single"/>
        </w:rPr>
        <w:t xml:space="preserve">    </w:t>
      </w:r>
      <w:r>
        <w:rPr>
          <w:rFonts w:hint="eastAsia"/>
          <w:color w:val="000000"/>
          <w:szCs w:val="24"/>
          <w:u w:val="single"/>
        </w:rPr>
        <w:t xml:space="preserve">           </w:t>
      </w:r>
      <w:r>
        <w:rPr>
          <w:color w:val="000000"/>
          <w:szCs w:val="24"/>
          <w:u w:val="single"/>
        </w:rPr>
        <w:t xml:space="preserve">  </w:t>
      </w:r>
      <w:r>
        <w:rPr>
          <w:rFonts w:hint="eastAsia"/>
          <w:color w:val="000000"/>
          <w:szCs w:val="24"/>
          <w:u w:val="single"/>
        </w:rPr>
        <w:t xml:space="preserve">  </w:t>
      </w:r>
      <w:r>
        <w:rPr>
          <w:color w:val="000000"/>
          <w:szCs w:val="24"/>
          <w:u w:val="single"/>
        </w:rPr>
        <w:t xml:space="preserve">          </w:t>
      </w:r>
      <w:r>
        <w:rPr>
          <w:rFonts w:hint="eastAsia"/>
          <w:color w:val="000000"/>
          <w:szCs w:val="24"/>
          <w:u w:val="single"/>
        </w:rPr>
        <w:t xml:space="preserve">              </w:t>
      </w:r>
      <w:r>
        <w:rPr>
          <w:color w:val="000000"/>
          <w:szCs w:val="24"/>
          <w:u w:val="single"/>
        </w:rPr>
        <w:t xml:space="preserve">    </w:t>
      </w:r>
      <w:r>
        <w:rPr>
          <w:rFonts w:hint="eastAsia"/>
          <w:color w:val="000000"/>
          <w:szCs w:val="24"/>
          <w:u w:val="single"/>
        </w:rPr>
        <w:t xml:space="preserve">   </w:t>
      </w:r>
      <w:r>
        <w:rPr>
          <w:color w:val="000000"/>
          <w:szCs w:val="24"/>
          <w:u w:val="single"/>
        </w:rPr>
        <w:t xml:space="preserve">    </w:t>
      </w:r>
      <w:r>
        <w:rPr>
          <w:color w:val="000000"/>
          <w:szCs w:val="24"/>
        </w:rPr>
        <w:t>。</w:t>
      </w:r>
    </w:p>
    <w:p>
      <w:pPr>
        <w:pStyle w:val="13"/>
      </w:pPr>
      <w:bookmarkStart w:id="73" w:name="_Toc351203639"/>
      <w:r>
        <w:t>7. 工期和进度</w:t>
      </w:r>
      <w:bookmarkEnd w:id="73"/>
    </w:p>
    <w:p>
      <w:pPr>
        <w:pStyle w:val="5"/>
        <w:ind w:firstLine="482"/>
      </w:pPr>
      <w:r>
        <w:rPr>
          <w:rFonts w:hint="eastAsia"/>
        </w:rPr>
        <w:t>施工组织设计</w:t>
      </w:r>
    </w:p>
    <w:p>
      <w:pPr>
        <w:ind w:firstLine="480"/>
      </w:pPr>
      <w:r>
        <w:rPr>
          <w:rFonts w:hint="eastAsia"/>
        </w:rPr>
        <w:t>合同当事人约定的</w:t>
      </w:r>
      <w:r>
        <w:t>施工组织设计</w:t>
      </w:r>
      <w:r>
        <w:rPr>
          <w:rFonts w:hint="eastAsia"/>
        </w:rPr>
        <w:t>应包括</w:t>
      </w:r>
      <w:r>
        <w:rPr>
          <w:rFonts w:hint="eastAsia"/>
          <w:b/>
          <w:i/>
          <w:u w:val="single"/>
        </w:rPr>
        <w:t>BIM工作实施方案（包括施工深化</w:t>
      </w:r>
      <w:r>
        <w:rPr>
          <w:b/>
          <w:i/>
          <w:u w:val="single"/>
        </w:rPr>
        <w:t>设计、施工方案模拟、构件预制加工、虚拟进度与实际进度比对、工程量统计、设备与材料管理、质量与安全管理、竣工模型构建</w:t>
      </w:r>
      <w:r>
        <w:rPr>
          <w:rFonts w:hint="eastAsia"/>
          <w:b/>
          <w:i/>
          <w:u w:val="single"/>
        </w:rPr>
        <w:t>等内容）</w:t>
      </w:r>
      <w:r>
        <w:rPr>
          <w:rFonts w:hint="eastAsia"/>
          <w:b/>
          <w:i/>
        </w:rPr>
        <w:t>及</w:t>
      </w:r>
      <w:r>
        <w:rPr>
          <w:rFonts w:hint="eastAsia"/>
        </w:rPr>
        <w:t>其他内容</w:t>
      </w:r>
      <w:r>
        <w:t xml:space="preserve">：  </w:t>
      </w:r>
      <w:r>
        <w:rPr>
          <w:rFonts w:hint="eastAsia"/>
        </w:rPr>
        <w:t xml:space="preserve">                                               </w:t>
      </w:r>
      <w:r>
        <w:t>。</w:t>
      </w:r>
    </w:p>
    <w:p>
      <w:pPr>
        <w:pStyle w:val="5"/>
        <w:ind w:firstLine="482"/>
      </w:pPr>
      <w:r>
        <w:t>施工进度计划</w:t>
      </w:r>
    </w:p>
    <w:p>
      <w:pPr>
        <w:ind w:firstLine="480"/>
        <w:rPr>
          <w:color w:val="000000"/>
          <w:szCs w:val="24"/>
        </w:rPr>
      </w:pPr>
      <w:r>
        <w:rPr>
          <w:color w:val="000000"/>
          <w:szCs w:val="24"/>
        </w:rPr>
        <w:t>施工进度计划的修订</w:t>
      </w:r>
    </w:p>
    <w:p>
      <w:pPr>
        <w:ind w:firstLine="480"/>
      </w:pPr>
      <w:r>
        <w:t>发包人和监理人在收到修订的施工进度计划</w:t>
      </w:r>
      <w:r>
        <w:rPr>
          <w:b/>
          <w:i/>
          <w:u w:val="single"/>
        </w:rPr>
        <w:t>及配套基于BIM的4D进度模拟计划</w:t>
      </w:r>
      <w:r>
        <w:t>后确认或提出修改意见的期限：</w:t>
      </w:r>
    </w:p>
    <w:p>
      <w:pPr>
        <w:ind w:firstLine="480"/>
        <w:rPr>
          <w:szCs w:val="24"/>
        </w:rPr>
      </w:pPr>
      <w:r>
        <w:rPr>
          <w:szCs w:val="24"/>
          <w:u w:val="single"/>
        </w:rPr>
        <w:t xml:space="preserve">                       </w:t>
      </w:r>
      <w:r>
        <w:rPr>
          <w:rFonts w:hint="eastAsia"/>
          <w:szCs w:val="24"/>
          <w:u w:val="single"/>
        </w:rPr>
        <w:t xml:space="preserve">                 </w:t>
      </w:r>
      <w:r>
        <w:rPr>
          <w:szCs w:val="24"/>
          <w:u w:val="single"/>
        </w:rPr>
        <w:t xml:space="preserve">     </w:t>
      </w:r>
      <w:r>
        <w:rPr>
          <w:szCs w:val="24"/>
        </w:rPr>
        <w:t>。</w:t>
      </w:r>
    </w:p>
    <w:p>
      <w:pPr>
        <w:pStyle w:val="13"/>
      </w:pPr>
      <w:bookmarkStart w:id="74" w:name="_Toc292559915"/>
      <w:bookmarkStart w:id="75" w:name="_Toc296346706"/>
      <w:bookmarkStart w:id="76" w:name="_Toc297120505"/>
      <w:bookmarkStart w:id="77" w:name="_Toc296347204"/>
      <w:bookmarkStart w:id="78" w:name="_Toc296503205"/>
      <w:bookmarkStart w:id="79" w:name="_Toc292559410"/>
      <w:bookmarkStart w:id="80" w:name="_Toc296891033"/>
      <w:bookmarkStart w:id="81" w:name="_Toc296891245"/>
      <w:bookmarkStart w:id="82" w:name="_Toc297048391"/>
      <w:bookmarkStart w:id="83" w:name="_Toc296944544"/>
      <w:bookmarkStart w:id="84" w:name="_Toc351203644"/>
      <w:bookmarkStart w:id="85" w:name="_Toc312678040"/>
      <w:bookmarkStart w:id="86" w:name="_Toc297123552"/>
      <w:bookmarkStart w:id="87" w:name="_Toc297216211"/>
      <w:bookmarkStart w:id="88" w:name="_Toc300935002"/>
      <w:bookmarkStart w:id="89" w:name="_Toc303539159"/>
      <w:bookmarkStart w:id="90" w:name="_Toc304295579"/>
      <w:bookmarkStart w:id="91" w:name="_Toc351203652"/>
      <w:r>
        <w:t xml:space="preserve">12. </w:t>
      </w:r>
      <w:bookmarkEnd w:id="74"/>
      <w:bookmarkEnd w:id="75"/>
      <w:bookmarkEnd w:id="76"/>
      <w:bookmarkEnd w:id="77"/>
      <w:bookmarkEnd w:id="78"/>
      <w:bookmarkEnd w:id="79"/>
      <w:bookmarkEnd w:id="80"/>
      <w:bookmarkEnd w:id="81"/>
      <w:bookmarkEnd w:id="82"/>
      <w:bookmarkEnd w:id="83"/>
      <w:r>
        <w:t>合同价格、计量与支付</w:t>
      </w:r>
      <w:bookmarkEnd w:id="84"/>
    </w:p>
    <w:bookmarkEnd w:id="85"/>
    <w:bookmarkEnd w:id="86"/>
    <w:bookmarkEnd w:id="87"/>
    <w:bookmarkEnd w:id="88"/>
    <w:bookmarkEnd w:id="89"/>
    <w:bookmarkEnd w:id="90"/>
    <w:p>
      <w:pPr>
        <w:pStyle w:val="5"/>
        <w:ind w:firstLine="482"/>
      </w:pPr>
      <w:bookmarkStart w:id="92" w:name="_Toc292559916"/>
      <w:bookmarkStart w:id="93" w:name="_Toc267251461"/>
      <w:bookmarkStart w:id="94" w:name="_Toc292559411"/>
      <w:bookmarkStart w:id="95" w:name="_Toc296944545"/>
      <w:bookmarkStart w:id="96" w:name="_Toc296891034"/>
      <w:bookmarkStart w:id="97" w:name="_Toc296891246"/>
      <w:bookmarkStart w:id="98" w:name="_Toc296347205"/>
      <w:bookmarkStart w:id="99" w:name="_Toc296503206"/>
      <w:bookmarkStart w:id="100" w:name="_Toc297048392"/>
      <w:bookmarkStart w:id="101" w:name="_Toc297120506"/>
      <w:bookmarkStart w:id="102" w:name="_Toc296346707"/>
      <w:bookmarkStart w:id="103" w:name="_Toc297123553"/>
      <w:bookmarkStart w:id="104" w:name="_Toc297216212"/>
      <w:bookmarkStart w:id="105" w:name="_Toc300935003"/>
      <w:bookmarkStart w:id="106" w:name="_Toc303539160"/>
      <w:bookmarkStart w:id="107" w:name="_Toc304295580"/>
      <w:bookmarkStart w:id="108" w:name="_Toc312678041"/>
      <w:r>
        <w:t>合</w:t>
      </w:r>
      <w:bookmarkEnd w:id="92"/>
      <w:bookmarkEnd w:id="93"/>
      <w:bookmarkEnd w:id="94"/>
      <w:r>
        <w:t>同价</w:t>
      </w:r>
      <w:bookmarkEnd w:id="95"/>
      <w:bookmarkEnd w:id="96"/>
      <w:bookmarkEnd w:id="97"/>
      <w:bookmarkEnd w:id="98"/>
      <w:bookmarkEnd w:id="99"/>
      <w:bookmarkEnd w:id="100"/>
      <w:bookmarkEnd w:id="101"/>
      <w:bookmarkEnd w:id="102"/>
      <w:r>
        <w:t>格形式</w:t>
      </w:r>
    </w:p>
    <w:bookmarkEnd w:id="103"/>
    <w:bookmarkEnd w:id="104"/>
    <w:bookmarkEnd w:id="105"/>
    <w:bookmarkEnd w:id="106"/>
    <w:bookmarkEnd w:id="107"/>
    <w:bookmarkEnd w:id="108"/>
    <w:p>
      <w:pPr>
        <w:ind w:firstLine="480"/>
        <w:rPr>
          <w:b/>
          <w:i/>
          <w:u w:val="single"/>
        </w:rPr>
      </w:pPr>
      <w:r>
        <w:t>其他价格方式：</w:t>
      </w:r>
    </w:p>
    <w:p>
      <w:pPr>
        <w:ind w:firstLine="482"/>
        <w:rPr>
          <w:b/>
          <w:i/>
          <w:color w:val="000000" w:themeColor="text1"/>
          <w:szCs w:val="24"/>
          <w:u w:val="single"/>
          <w14:textFill>
            <w14:solidFill>
              <w14:schemeClr w14:val="tx1"/>
            </w14:solidFill>
          </w14:textFill>
        </w:rPr>
      </w:pPr>
      <w:r>
        <w:rPr>
          <w:rFonts w:hint="eastAsia"/>
          <w:b/>
          <w:i/>
          <w:color w:val="000000"/>
          <w:szCs w:val="24"/>
          <w:u w:val="single"/>
        </w:rPr>
        <w:t>BIM技术服务费用按以下内容单独约定，</w:t>
      </w:r>
      <w:r>
        <w:rPr>
          <w:rFonts w:hint="eastAsia"/>
          <w:b/>
          <w:i/>
          <w:color w:val="000000" w:themeColor="text1"/>
          <w:szCs w:val="24"/>
          <w:u w:val="single"/>
          <w14:textFill>
            <w14:solidFill>
              <w14:schemeClr w14:val="tx1"/>
            </w14:solidFill>
          </w14:textFill>
        </w:rPr>
        <w:t>按节点</w:t>
      </w:r>
      <w:r>
        <w:rPr>
          <w:b/>
          <w:i/>
          <w:color w:val="000000" w:themeColor="text1"/>
          <w:szCs w:val="24"/>
          <w:u w:val="single"/>
          <w14:textFill>
            <w14:solidFill>
              <w14:schemeClr w14:val="tx1"/>
            </w14:solidFill>
          </w14:textFill>
        </w:rPr>
        <w:t>支付</w:t>
      </w:r>
      <w:r>
        <w:rPr>
          <w:rFonts w:hint="eastAsia"/>
          <w:b/>
          <w:i/>
          <w:color w:val="000000" w:themeColor="text1"/>
          <w:szCs w:val="24"/>
          <w:u w:val="single"/>
          <w14:textFill>
            <w14:solidFill>
              <w14:schemeClr w14:val="tx1"/>
            </w14:solidFill>
          </w14:textFill>
        </w:rPr>
        <w:t>。</w:t>
      </w:r>
    </w:p>
    <w:p>
      <w:pPr>
        <w:autoSpaceDE w:val="0"/>
        <w:autoSpaceDN w:val="0"/>
        <w:adjustRightInd w:val="0"/>
        <w:snapToGrid w:val="0"/>
        <w:ind w:firstLine="482"/>
        <w:rPr>
          <w:b/>
          <w:i/>
          <w:color w:val="000000"/>
          <w:szCs w:val="24"/>
          <w:u w:val="single"/>
        </w:rPr>
      </w:pPr>
      <w:r>
        <w:rPr>
          <w:rFonts w:hint="eastAsia"/>
          <w:b/>
          <w:i/>
          <w:color w:val="000000"/>
          <w:szCs w:val="24"/>
          <w:u w:val="single"/>
        </w:rPr>
        <w:t>1）</w:t>
      </w:r>
      <w:r>
        <w:rPr>
          <w:b/>
          <w:i/>
          <w:color w:val="000000"/>
          <w:szCs w:val="24"/>
          <w:u w:val="single"/>
        </w:rPr>
        <w:t>BIM</w:t>
      </w:r>
      <w:r>
        <w:rPr>
          <w:rFonts w:hint="eastAsia"/>
          <w:b/>
          <w:i/>
          <w:color w:val="000000"/>
          <w:szCs w:val="24"/>
          <w:u w:val="single"/>
        </w:rPr>
        <w:t xml:space="preserve">技术服务费总额：人民币（大写）   </w:t>
      </w:r>
      <w:r>
        <w:rPr>
          <w:b/>
          <w:i/>
          <w:color w:val="000000"/>
          <w:szCs w:val="24"/>
          <w:u w:val="single"/>
        </w:rPr>
        <w:t xml:space="preserve">            (</w:t>
      </w:r>
      <w:r>
        <w:rPr>
          <w:rFonts w:cs="Calibri"/>
          <w:b/>
          <w:i/>
          <w:color w:val="000000"/>
          <w:szCs w:val="24"/>
          <w:u w:val="single"/>
        </w:rPr>
        <w:t>¥</w:t>
      </w:r>
      <w:r>
        <w:rPr>
          <w:b/>
          <w:i/>
          <w:color w:val="000000"/>
          <w:szCs w:val="24"/>
          <w:u w:val="single"/>
        </w:rPr>
        <w:t xml:space="preserve">          </w:t>
      </w:r>
      <w:r>
        <w:rPr>
          <w:rFonts w:hint="eastAsia"/>
          <w:b/>
          <w:i/>
          <w:color w:val="000000"/>
          <w:szCs w:val="24"/>
          <w:u w:val="single"/>
        </w:rPr>
        <w:t>元)；</w:t>
      </w:r>
    </w:p>
    <w:p>
      <w:pPr>
        <w:autoSpaceDE w:val="0"/>
        <w:autoSpaceDN w:val="0"/>
        <w:adjustRightInd w:val="0"/>
        <w:snapToGrid w:val="0"/>
        <w:ind w:firstLine="482"/>
        <w:rPr>
          <w:b/>
          <w:i/>
          <w:color w:val="000000"/>
          <w:szCs w:val="24"/>
          <w:u w:val="single"/>
        </w:rPr>
      </w:pPr>
      <w:r>
        <w:rPr>
          <w:rFonts w:hint="eastAsia"/>
          <w:b/>
          <w:i/>
          <w:color w:val="000000"/>
          <w:szCs w:val="24"/>
          <w:u w:val="single"/>
        </w:rPr>
        <w:t>2）</w:t>
      </w:r>
      <w:r>
        <w:rPr>
          <w:b/>
          <w:i/>
          <w:color w:val="000000"/>
          <w:szCs w:val="24"/>
          <w:u w:val="single"/>
        </w:rPr>
        <w:t>BIM</w:t>
      </w:r>
      <w:r>
        <w:rPr>
          <w:rFonts w:hint="eastAsia"/>
          <w:b/>
          <w:i/>
          <w:color w:val="000000"/>
          <w:szCs w:val="24"/>
          <w:u w:val="single"/>
        </w:rPr>
        <w:t>技术服务费总额构成</w:t>
      </w:r>
      <w:r>
        <w:rPr>
          <w:b/>
          <w:i/>
          <w:color w:val="000000"/>
          <w:szCs w:val="24"/>
          <w:u w:val="single"/>
        </w:rPr>
        <w:t>：</w:t>
      </w:r>
    </w:p>
    <w:p>
      <w:pPr>
        <w:ind w:left="238" w:firstLine="482"/>
        <w:rPr>
          <w:b/>
          <w:i/>
          <w:color w:val="000000"/>
          <w:szCs w:val="24"/>
          <w:u w:val="single"/>
        </w:rPr>
      </w:pPr>
      <w:r>
        <w:rPr>
          <w:rFonts w:hint="eastAsia"/>
          <w:b/>
          <w:i/>
          <w:color w:val="000000"/>
          <w:szCs w:val="24"/>
          <w:u w:val="single"/>
        </w:rPr>
        <w:t>a</w:t>
      </w:r>
      <w:r>
        <w:rPr>
          <w:b/>
          <w:i/>
          <w:color w:val="000000"/>
          <w:szCs w:val="24"/>
          <w:u w:val="single"/>
        </w:rPr>
        <w:t>）BIM</w:t>
      </w:r>
      <w:r>
        <w:rPr>
          <w:rFonts w:hint="eastAsia"/>
          <w:b/>
          <w:i/>
          <w:color w:val="000000"/>
          <w:szCs w:val="24"/>
          <w:u w:val="single"/>
        </w:rPr>
        <w:t>技术服务</w:t>
      </w:r>
      <w:r>
        <w:rPr>
          <w:b/>
          <w:i/>
          <w:color w:val="000000"/>
          <w:szCs w:val="24"/>
          <w:u w:val="single"/>
        </w:rPr>
        <w:t>基本费</w:t>
      </w:r>
      <w:r>
        <w:rPr>
          <w:rFonts w:hint="eastAsia"/>
          <w:b/>
          <w:i/>
          <w:color w:val="000000"/>
          <w:szCs w:val="24"/>
          <w:u w:val="single"/>
        </w:rPr>
        <w:t>用</w:t>
      </w:r>
      <w:r>
        <w:rPr>
          <w:b/>
          <w:i/>
          <w:color w:val="000000"/>
          <w:szCs w:val="24"/>
          <w:u w:val="single"/>
        </w:rPr>
        <w:t>：</w:t>
      </w:r>
      <w:r>
        <w:rPr>
          <w:rFonts w:hint="eastAsia"/>
          <w:b/>
          <w:i/>
          <w:color w:val="000000"/>
          <w:szCs w:val="24"/>
          <w:u w:val="single"/>
        </w:rPr>
        <w:t>（二选一）</w:t>
      </w:r>
    </w:p>
    <w:p>
      <w:pPr>
        <w:ind w:firstLine="1446" w:firstLineChars="600"/>
        <w:rPr>
          <w:b/>
          <w:i/>
          <w:color w:val="000000"/>
          <w:szCs w:val="24"/>
          <w:u w:val="single"/>
        </w:rPr>
      </w:pPr>
      <w:r>
        <w:rPr>
          <w:rFonts w:hint="eastAsia"/>
          <w:b/>
          <w:i/>
          <w:color w:val="000000"/>
          <w:szCs w:val="24"/>
          <w:u w:val="single"/>
        </w:rPr>
        <w:t>□固定总价：</w:t>
      </w:r>
      <w:r>
        <w:rPr>
          <w:b/>
          <w:i/>
          <w:color w:val="000000"/>
          <w:szCs w:val="24"/>
          <w:u w:val="single"/>
        </w:rPr>
        <w:t xml:space="preserve">                                  </w:t>
      </w:r>
    </w:p>
    <w:p>
      <w:pPr>
        <w:ind w:firstLine="482"/>
        <w:rPr>
          <w:rFonts w:cs="Courier New"/>
          <w:b/>
          <w:i/>
          <w:szCs w:val="24"/>
          <w:u w:val="single"/>
        </w:rPr>
      </w:pPr>
      <w:r>
        <w:rPr>
          <w:b/>
          <w:i/>
          <w:color w:val="000000"/>
          <w:szCs w:val="24"/>
        </w:rPr>
        <w:t xml:space="preserve">            </w:t>
      </w:r>
      <w:r>
        <w:rPr>
          <w:b/>
          <w:i/>
          <w:color w:val="000000"/>
          <w:szCs w:val="24"/>
          <w:u w:val="single"/>
        </w:rPr>
        <w:t>□</w:t>
      </w:r>
      <w:r>
        <w:rPr>
          <w:rFonts w:hint="eastAsia"/>
          <w:b/>
          <w:i/>
          <w:color w:val="000000"/>
          <w:szCs w:val="24"/>
          <w:u w:val="single"/>
        </w:rPr>
        <w:t>固定单价（</w:t>
      </w:r>
      <w:r>
        <w:rPr>
          <w:rFonts w:cs="Courier New"/>
          <w:b/>
          <w:i/>
          <w:szCs w:val="24"/>
          <w:u w:val="single"/>
        </w:rPr>
        <w:t xml:space="preserve">   </w:t>
      </w:r>
      <w:r>
        <w:rPr>
          <w:rFonts w:hint="eastAsia" w:cs="Courier New"/>
          <w:b/>
          <w:i/>
          <w:szCs w:val="24"/>
          <w:u w:val="single"/>
        </w:rPr>
        <w:t>元</w:t>
      </w:r>
      <w:r>
        <w:rPr>
          <w:rFonts w:cs="Courier New"/>
          <w:b/>
          <w:i/>
          <w:szCs w:val="24"/>
          <w:u w:val="single"/>
        </w:rPr>
        <w:t xml:space="preserve">/平方米或        </w:t>
      </w:r>
      <w:r>
        <w:rPr>
          <w:rFonts w:hint="eastAsia" w:cs="Courier New"/>
          <w:b/>
          <w:i/>
          <w:szCs w:val="24"/>
          <w:u w:val="single"/>
        </w:rPr>
        <w:t>×</w:t>
      </w:r>
      <w:r>
        <w:rPr>
          <w:rFonts w:cs="Courier New"/>
          <w:b/>
          <w:i/>
          <w:szCs w:val="24"/>
          <w:u w:val="single"/>
        </w:rPr>
        <w:t xml:space="preserve">   %</w:t>
      </w:r>
      <w:r>
        <w:rPr>
          <w:rFonts w:hint="eastAsia" w:cs="Courier New"/>
          <w:b/>
          <w:i/>
          <w:szCs w:val="24"/>
          <w:u w:val="single"/>
        </w:rPr>
        <w:t>计取）</w:t>
      </w:r>
    </w:p>
    <w:p>
      <w:pPr>
        <w:ind w:left="238" w:firstLine="482"/>
        <w:rPr>
          <w:b/>
          <w:i/>
          <w:color w:val="000000"/>
          <w:szCs w:val="24"/>
          <w:u w:val="single"/>
        </w:rPr>
      </w:pPr>
      <w:r>
        <w:rPr>
          <w:rFonts w:hint="eastAsia"/>
          <w:b/>
          <w:i/>
          <w:color w:val="000000"/>
          <w:szCs w:val="24"/>
          <w:u w:val="single"/>
        </w:rPr>
        <w:t>b</w:t>
      </w:r>
      <w:r>
        <w:rPr>
          <w:b/>
          <w:i/>
          <w:color w:val="000000"/>
          <w:szCs w:val="24"/>
          <w:u w:val="single"/>
        </w:rPr>
        <w:t>）BIM</w:t>
      </w:r>
      <w:r>
        <w:rPr>
          <w:rFonts w:hint="eastAsia"/>
          <w:b/>
          <w:i/>
          <w:color w:val="000000"/>
          <w:szCs w:val="24"/>
          <w:u w:val="single"/>
        </w:rPr>
        <w:t>技术服务其他费用：</w:t>
      </w:r>
      <w:r>
        <w:rPr>
          <w:b/>
          <w:i/>
          <w:color w:val="000000"/>
          <w:szCs w:val="24"/>
          <w:u w:val="single"/>
        </w:rPr>
        <w:t xml:space="preserve">                              </w:t>
      </w:r>
    </w:p>
    <w:p>
      <w:pPr>
        <w:ind w:left="238" w:firstLine="482"/>
        <w:rPr>
          <w:b/>
          <w:i/>
          <w:color w:val="000000"/>
          <w:szCs w:val="24"/>
          <w:u w:val="single"/>
        </w:rPr>
      </w:pPr>
      <w:r>
        <w:rPr>
          <w:rFonts w:hint="eastAsia"/>
          <w:b/>
          <w:i/>
          <w:color w:val="000000"/>
          <w:szCs w:val="24"/>
          <w:u w:val="single"/>
        </w:rPr>
        <w:t>c</w:t>
      </w:r>
      <w:r>
        <w:rPr>
          <w:b/>
          <w:i/>
          <w:color w:val="000000"/>
          <w:szCs w:val="24"/>
          <w:u w:val="single"/>
        </w:rPr>
        <w:t>）合同签订前</w:t>
      </w:r>
      <w:r>
        <w:rPr>
          <w:rFonts w:hint="eastAsia"/>
          <w:b/>
          <w:i/>
          <w:color w:val="000000"/>
          <w:szCs w:val="24"/>
          <w:u w:val="single"/>
        </w:rPr>
        <w:t>承包人</w:t>
      </w:r>
      <w:r>
        <w:rPr>
          <w:b/>
          <w:i/>
          <w:color w:val="000000"/>
          <w:szCs w:val="24"/>
          <w:u w:val="single"/>
        </w:rPr>
        <w:t xml:space="preserve">已完成BIM工作的费用：          </w:t>
      </w:r>
    </w:p>
    <w:p>
      <w:pPr>
        <w:ind w:left="238" w:firstLine="482"/>
        <w:rPr>
          <w:b/>
          <w:i/>
          <w:color w:val="000000"/>
          <w:szCs w:val="24"/>
          <w:u w:val="single"/>
        </w:rPr>
      </w:pPr>
      <w:r>
        <w:rPr>
          <w:rFonts w:hint="eastAsia"/>
          <w:b/>
          <w:i/>
          <w:color w:val="000000"/>
          <w:szCs w:val="24"/>
          <w:u w:val="single"/>
        </w:rPr>
        <w:t>d</w:t>
      </w:r>
      <w:r>
        <w:rPr>
          <w:b/>
          <w:i/>
          <w:color w:val="000000"/>
          <w:szCs w:val="24"/>
          <w:u w:val="single"/>
        </w:rPr>
        <w:t>）特别约定：</w:t>
      </w:r>
    </w:p>
    <w:p>
      <w:pPr>
        <w:ind w:firstLine="482"/>
        <w:rPr>
          <w:b/>
          <w:i/>
          <w:szCs w:val="24"/>
          <w:u w:val="single"/>
        </w:rPr>
      </w:pPr>
      <w:r>
        <w:rPr>
          <w:rFonts w:hint="eastAsia"/>
          <w:b/>
          <w:i/>
          <w:szCs w:val="24"/>
          <w:u w:val="single"/>
        </w:rPr>
        <w:t>采用固定单价形式的</w:t>
      </w:r>
      <w:r>
        <w:rPr>
          <w:b/>
          <w:i/>
          <w:szCs w:val="24"/>
          <w:u w:val="single"/>
        </w:rPr>
        <w:t>BIM</w:t>
      </w:r>
      <w:r>
        <w:rPr>
          <w:rFonts w:hint="eastAsia"/>
          <w:b/>
          <w:i/>
          <w:color w:val="000000"/>
          <w:szCs w:val="24"/>
          <w:u w:val="single"/>
        </w:rPr>
        <w:t>技术服务</w:t>
      </w:r>
      <w:r>
        <w:rPr>
          <w:b/>
          <w:i/>
          <w:szCs w:val="24"/>
          <w:u w:val="single"/>
        </w:rPr>
        <w:t>费，实际BIM技术服务费按</w:t>
      </w:r>
      <w:r>
        <w:rPr>
          <w:rFonts w:hint="eastAsia"/>
          <w:b/>
          <w:i/>
          <w:szCs w:val="24"/>
          <w:u w:val="single"/>
        </w:rPr>
        <w:t>直接工程费</w:t>
      </w:r>
      <w:r>
        <w:rPr>
          <w:b/>
          <w:i/>
          <w:szCs w:val="24"/>
          <w:u w:val="single"/>
        </w:rPr>
        <w:t>（或</w:t>
      </w:r>
      <w:r>
        <w:rPr>
          <w:rFonts w:hint="eastAsia"/>
          <w:b/>
          <w:i/>
          <w:szCs w:val="24"/>
          <w:u w:val="single"/>
        </w:rPr>
        <w:t>施工合同总价</w:t>
      </w:r>
      <w:r>
        <w:rPr>
          <w:b/>
          <w:i/>
          <w:szCs w:val="24"/>
          <w:u w:val="single"/>
        </w:rPr>
        <w:t>）和本合同</w:t>
      </w:r>
      <w:r>
        <w:rPr>
          <w:rFonts w:hint="eastAsia"/>
          <w:b/>
          <w:i/>
          <w:szCs w:val="24"/>
          <w:u w:val="single"/>
        </w:rPr>
        <w:t>约定的单价（或费率）核定，多退少补。</w:t>
      </w:r>
    </w:p>
    <w:p>
      <w:pPr>
        <w:ind w:firstLine="482"/>
        <w:rPr>
          <w:b/>
          <w:i/>
          <w:szCs w:val="24"/>
        </w:rPr>
      </w:pPr>
      <w:r>
        <w:rPr>
          <w:b/>
          <w:i/>
          <w:szCs w:val="24"/>
        </w:rPr>
        <w:t>3</w:t>
      </w:r>
      <w:r>
        <w:rPr>
          <w:rFonts w:hint="eastAsia"/>
          <w:b/>
          <w:i/>
          <w:szCs w:val="24"/>
        </w:rPr>
        <w:t>）</w:t>
      </w:r>
      <w:r>
        <w:rPr>
          <w:b/>
          <w:i/>
          <w:szCs w:val="24"/>
          <w:u w:val="single"/>
        </w:rPr>
        <w:t>BIM技术服务费</w:t>
      </w:r>
      <w:r>
        <w:rPr>
          <w:rFonts w:hint="eastAsia"/>
          <w:b/>
          <w:i/>
          <w:szCs w:val="24"/>
          <w:u w:val="single"/>
        </w:rPr>
        <w:t>明细计算表</w:t>
      </w:r>
    </w:p>
    <w:p>
      <w:pPr>
        <w:ind w:firstLine="482"/>
        <w:rPr>
          <w:b/>
          <w:i/>
          <w:szCs w:val="24"/>
        </w:rPr>
      </w:pPr>
    </w:p>
    <w:p>
      <w:pPr>
        <w:ind w:firstLine="482"/>
        <w:rPr>
          <w:b/>
          <w:i/>
          <w:szCs w:val="24"/>
        </w:rPr>
        <w:sectPr>
          <w:footerReference r:id="rId9" w:type="default"/>
          <w:pgSz w:w="11906" w:h="16838"/>
          <w:pgMar w:top="1440" w:right="1797" w:bottom="1440" w:left="1797" w:header="851" w:footer="992" w:gutter="0"/>
          <w:pgNumType w:start="1"/>
          <w:cols w:space="425" w:num="1"/>
          <w:docGrid w:type="linesAndChars" w:linePitch="312" w:charSpace="0"/>
        </w:sectPr>
      </w:pPr>
    </w:p>
    <w:p>
      <w:pPr>
        <w:pStyle w:val="2"/>
        <w:ind w:firstLine="643"/>
        <w:rPr>
          <w:b w:val="0"/>
        </w:rPr>
      </w:pPr>
      <w:r>
        <w:t>附件</w:t>
      </w:r>
      <w:bookmarkEnd w:id="91"/>
    </w:p>
    <w:p>
      <w:pPr>
        <w:ind w:firstLine="480"/>
      </w:pPr>
      <w:r>
        <w:rPr>
          <w:rFonts w:hint="eastAsia"/>
        </w:rPr>
        <w:t>协议书附件：</w:t>
      </w:r>
    </w:p>
    <w:p>
      <w:pPr>
        <w:ind w:firstLine="480"/>
      </w:pPr>
      <w:r>
        <w:t>附件1：承包人承揽工程项目一览表</w:t>
      </w:r>
    </w:p>
    <w:p>
      <w:pPr>
        <w:ind w:firstLine="480"/>
      </w:pPr>
      <w:r>
        <w:rPr>
          <w:rFonts w:hint="eastAsia"/>
        </w:rPr>
        <w:t>专用合同条款附件：</w:t>
      </w:r>
    </w:p>
    <w:p>
      <w:pPr>
        <w:ind w:firstLine="480"/>
      </w:pPr>
      <w:r>
        <w:t>附件2：发包人供应材料设备一览表</w:t>
      </w:r>
    </w:p>
    <w:p>
      <w:pPr>
        <w:ind w:firstLine="480"/>
      </w:pPr>
      <w:r>
        <w:t>附件3：工程质量保修书</w:t>
      </w:r>
    </w:p>
    <w:p>
      <w:pPr>
        <w:ind w:firstLine="480"/>
      </w:pPr>
      <w:r>
        <w:t>附件4：主要建设工程文件目录</w:t>
      </w:r>
    </w:p>
    <w:p>
      <w:pPr>
        <w:ind w:firstLine="482"/>
        <w:rPr>
          <w:b/>
          <w:i/>
          <w:u w:val="single"/>
        </w:rPr>
      </w:pPr>
      <w:r>
        <w:rPr>
          <w:b/>
          <w:i/>
          <w:u w:val="single"/>
        </w:rPr>
        <w:t>附件5：</w:t>
      </w:r>
      <w:r>
        <w:rPr>
          <w:rFonts w:hint="eastAsia"/>
          <w:b/>
          <w:i/>
          <w:u w:val="single"/>
        </w:rPr>
        <w:t>承包人向发包人交付的施工BIM文件目录</w:t>
      </w:r>
    </w:p>
    <w:p>
      <w:pPr>
        <w:ind w:firstLine="480"/>
      </w:pPr>
      <w:r>
        <w:t>附件6：承包人用于本工程施工的机械设备表</w:t>
      </w:r>
    </w:p>
    <w:p>
      <w:pPr>
        <w:ind w:firstLine="480"/>
      </w:pPr>
      <w:r>
        <w:t>附件7：承包人主要施工管理人员表</w:t>
      </w:r>
    </w:p>
    <w:p>
      <w:pPr>
        <w:ind w:firstLine="480"/>
      </w:pPr>
      <w:r>
        <w:t>附件8：分包人主要施工管理人员表</w:t>
      </w:r>
    </w:p>
    <w:p>
      <w:pPr>
        <w:ind w:firstLine="480"/>
      </w:pPr>
      <w:r>
        <w:t>附件9：履约担保格式</w:t>
      </w:r>
    </w:p>
    <w:p>
      <w:pPr>
        <w:ind w:firstLine="480"/>
      </w:pPr>
      <w:r>
        <w:t>附件10：预付款担保格式</w:t>
      </w:r>
    </w:p>
    <w:p>
      <w:pPr>
        <w:ind w:firstLine="480"/>
      </w:pPr>
      <w:r>
        <w:t>附件11：支付担保格式</w:t>
      </w:r>
    </w:p>
    <w:p>
      <w:pPr>
        <w:ind w:firstLine="480"/>
        <w:sectPr>
          <w:pgSz w:w="11906" w:h="16838"/>
          <w:pgMar w:top="1440" w:right="1797" w:bottom="1440" w:left="1797" w:header="851" w:footer="992" w:gutter="0"/>
          <w:cols w:space="720" w:num="1"/>
          <w:titlePg/>
          <w:docGrid w:type="linesAndChars" w:linePitch="312" w:charSpace="0"/>
        </w:sectPr>
      </w:pPr>
      <w:r>
        <w:t>附件12：暂估价一览表</w:t>
      </w:r>
    </w:p>
    <w:p>
      <w:pPr>
        <w:pStyle w:val="4"/>
        <w:ind w:firstLine="0" w:firstLineChars="0"/>
        <w:rPr>
          <w:b/>
          <w:i/>
          <w:u w:val="single"/>
        </w:rPr>
      </w:pPr>
      <w:r>
        <w:rPr>
          <w:b/>
          <w:i/>
          <w:u w:val="single"/>
        </w:rPr>
        <w:t>附件</w:t>
      </w:r>
      <w:r>
        <w:rPr>
          <w:rFonts w:hint="eastAsia"/>
          <w:b/>
          <w:i/>
          <w:u w:val="single"/>
        </w:rPr>
        <w:t>5</w:t>
      </w:r>
      <w:r>
        <w:rPr>
          <w:b/>
          <w:i/>
          <w:u w:val="single"/>
        </w:rPr>
        <w:t>：</w:t>
      </w:r>
    </w:p>
    <w:p>
      <w:pPr>
        <w:ind w:firstLine="482"/>
        <w:jc w:val="center"/>
        <w:rPr>
          <w:b/>
          <w:i/>
          <w:u w:val="single"/>
        </w:rPr>
      </w:pPr>
      <w:r>
        <w:rPr>
          <w:rFonts w:hint="eastAsia"/>
          <w:b/>
          <w:i/>
          <w:u w:val="single"/>
        </w:rPr>
        <w:t>承包人向发包人交付的施工BIM</w:t>
      </w:r>
      <w:r>
        <w:rPr>
          <w:b/>
          <w:i/>
          <w:u w:val="single"/>
        </w:rPr>
        <w:t>文件目录</w:t>
      </w:r>
    </w:p>
    <w:tbl>
      <w:tblPr>
        <w:tblStyle w:val="15"/>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2215"/>
        <w:gridCol w:w="868"/>
        <w:gridCol w:w="2977"/>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1" w:type="dxa"/>
            <w:shd w:val="clear" w:color="auto" w:fill="auto"/>
            <w:vAlign w:val="center"/>
          </w:tcPr>
          <w:p>
            <w:pPr>
              <w:pStyle w:val="8"/>
              <w:keepNext/>
              <w:spacing w:after="0" w:line="360" w:lineRule="auto"/>
              <w:ind w:right="72" w:firstLine="0" w:firstLineChars="0"/>
              <w:rPr>
                <w:rFonts w:eastAsia="宋体"/>
                <w:b/>
                <w:i/>
                <w:color w:val="000000"/>
                <w:szCs w:val="24"/>
                <w:u w:val="single"/>
              </w:rPr>
            </w:pPr>
            <w:r>
              <w:rPr>
                <w:rFonts w:hint="eastAsia" w:eastAsia="宋体"/>
                <w:b/>
                <w:i/>
                <w:color w:val="000000"/>
                <w:szCs w:val="24"/>
                <w:u w:val="single"/>
              </w:rPr>
              <w:t>序号</w:t>
            </w:r>
          </w:p>
        </w:tc>
        <w:tc>
          <w:tcPr>
            <w:tcW w:w="2215" w:type="dxa"/>
            <w:shd w:val="clear" w:color="auto" w:fill="auto"/>
            <w:vAlign w:val="center"/>
          </w:tcPr>
          <w:p>
            <w:pPr>
              <w:pStyle w:val="8"/>
              <w:keepNext/>
              <w:spacing w:after="0" w:line="360" w:lineRule="auto"/>
              <w:ind w:right="72" w:firstLine="0" w:firstLineChars="0"/>
              <w:rPr>
                <w:rFonts w:eastAsia="宋体"/>
                <w:b/>
                <w:i/>
                <w:color w:val="000000"/>
                <w:szCs w:val="24"/>
                <w:u w:val="single"/>
              </w:rPr>
            </w:pPr>
            <w:r>
              <w:rPr>
                <w:rFonts w:hint="eastAsia" w:eastAsia="宋体"/>
                <w:b/>
                <w:i/>
                <w:color w:val="000000"/>
                <w:szCs w:val="24"/>
                <w:u w:val="single"/>
              </w:rPr>
              <w:t>资料</w:t>
            </w:r>
            <w:r>
              <w:rPr>
                <w:rFonts w:eastAsia="宋体"/>
                <w:b/>
                <w:i/>
                <w:color w:val="000000"/>
                <w:szCs w:val="24"/>
                <w:u w:val="single"/>
              </w:rPr>
              <w:t>及文件名称</w:t>
            </w:r>
          </w:p>
        </w:tc>
        <w:tc>
          <w:tcPr>
            <w:tcW w:w="868" w:type="dxa"/>
            <w:shd w:val="clear" w:color="auto" w:fill="auto"/>
            <w:vAlign w:val="center"/>
          </w:tcPr>
          <w:p>
            <w:pPr>
              <w:pStyle w:val="8"/>
              <w:keepNext/>
              <w:spacing w:after="0" w:line="360" w:lineRule="auto"/>
              <w:ind w:right="72" w:firstLine="0" w:firstLineChars="0"/>
              <w:rPr>
                <w:rFonts w:eastAsia="宋体"/>
                <w:b/>
                <w:i/>
                <w:color w:val="000000"/>
                <w:szCs w:val="24"/>
                <w:u w:val="single"/>
              </w:rPr>
            </w:pPr>
            <w:r>
              <w:rPr>
                <w:rFonts w:hint="eastAsia" w:eastAsia="宋体"/>
                <w:b/>
                <w:i/>
                <w:color w:val="000000"/>
                <w:szCs w:val="24"/>
                <w:u w:val="single"/>
              </w:rPr>
              <w:t>份数</w:t>
            </w:r>
          </w:p>
        </w:tc>
        <w:tc>
          <w:tcPr>
            <w:tcW w:w="2977" w:type="dxa"/>
            <w:shd w:val="clear" w:color="auto" w:fill="auto"/>
            <w:vAlign w:val="center"/>
          </w:tcPr>
          <w:p>
            <w:pPr>
              <w:pStyle w:val="8"/>
              <w:keepNext/>
              <w:spacing w:after="0" w:line="360" w:lineRule="auto"/>
              <w:ind w:right="72" w:firstLine="0" w:firstLineChars="0"/>
              <w:rPr>
                <w:rFonts w:eastAsia="宋体"/>
                <w:b/>
                <w:i/>
                <w:color w:val="000000"/>
                <w:szCs w:val="24"/>
                <w:u w:val="single"/>
              </w:rPr>
            </w:pPr>
            <w:r>
              <w:rPr>
                <w:rFonts w:hint="eastAsia" w:eastAsia="宋体"/>
                <w:b/>
                <w:i/>
                <w:color w:val="000000"/>
                <w:szCs w:val="24"/>
                <w:u w:val="single"/>
              </w:rPr>
              <w:t>提交</w:t>
            </w:r>
            <w:r>
              <w:rPr>
                <w:rFonts w:eastAsia="宋体"/>
                <w:b/>
                <w:i/>
                <w:color w:val="000000"/>
                <w:szCs w:val="24"/>
                <w:u w:val="single"/>
              </w:rPr>
              <w:t>日期</w:t>
            </w:r>
          </w:p>
        </w:tc>
        <w:tc>
          <w:tcPr>
            <w:tcW w:w="1355" w:type="dxa"/>
            <w:shd w:val="clear" w:color="auto" w:fill="auto"/>
            <w:vAlign w:val="center"/>
          </w:tcPr>
          <w:p>
            <w:pPr>
              <w:pStyle w:val="8"/>
              <w:keepNext/>
              <w:spacing w:after="0" w:line="360" w:lineRule="auto"/>
              <w:ind w:right="72" w:firstLine="0" w:firstLineChars="0"/>
              <w:rPr>
                <w:rFonts w:eastAsia="宋体"/>
                <w:b/>
                <w:i/>
                <w:color w:val="000000"/>
                <w:szCs w:val="24"/>
                <w:u w:val="single"/>
              </w:rPr>
            </w:pPr>
            <w:r>
              <w:rPr>
                <w:rFonts w:hint="eastAsia" w:eastAsia="宋体"/>
                <w:b/>
                <w:i/>
                <w:color w:val="000000"/>
                <w:szCs w:val="24"/>
                <w:u w:val="single"/>
              </w:rPr>
              <w:t>有关</w:t>
            </w:r>
            <w:r>
              <w:rPr>
                <w:rFonts w:eastAsia="宋体"/>
                <w:b/>
                <w:i/>
                <w:color w:val="000000"/>
                <w:szCs w:val="24"/>
                <w:u w:val="single"/>
              </w:rPr>
              <w:t>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1" w:type="dxa"/>
            <w:shd w:val="clear" w:color="auto" w:fill="auto"/>
            <w:vAlign w:val="center"/>
          </w:tcPr>
          <w:p>
            <w:pPr>
              <w:ind w:firstLine="0" w:firstLineChars="0"/>
              <w:jc w:val="center"/>
              <w:rPr>
                <w:rFonts w:cs="宋体"/>
                <w:b/>
                <w:i/>
                <w:kern w:val="0"/>
                <w:szCs w:val="24"/>
                <w:u w:val="single"/>
              </w:rPr>
            </w:pPr>
            <w:r>
              <w:rPr>
                <w:rFonts w:cs="宋体"/>
                <w:b/>
                <w:i/>
                <w:kern w:val="0"/>
                <w:szCs w:val="24"/>
                <w:u w:val="single"/>
              </w:rPr>
              <w:t>1</w:t>
            </w:r>
          </w:p>
        </w:tc>
        <w:tc>
          <w:tcPr>
            <w:tcW w:w="2215" w:type="dxa"/>
            <w:shd w:val="clear" w:color="auto" w:fill="auto"/>
            <w:vAlign w:val="center"/>
          </w:tcPr>
          <w:p>
            <w:pPr>
              <w:ind w:firstLine="0" w:firstLineChars="0"/>
              <w:jc w:val="center"/>
              <w:rPr>
                <w:rFonts w:cs="宋体"/>
                <w:b/>
                <w:i/>
                <w:kern w:val="0"/>
                <w:szCs w:val="24"/>
                <w:u w:val="single"/>
              </w:rPr>
            </w:pPr>
            <w:r>
              <w:rPr>
                <w:rFonts w:hint="eastAsia" w:cs="宋体"/>
                <w:b/>
                <w:i/>
                <w:kern w:val="0"/>
                <w:szCs w:val="24"/>
                <w:u w:val="single"/>
              </w:rPr>
              <w:t>BIM工作实施方案及软硬件配置</w:t>
            </w:r>
          </w:p>
        </w:tc>
        <w:tc>
          <w:tcPr>
            <w:tcW w:w="868" w:type="dxa"/>
            <w:shd w:val="clear" w:color="auto" w:fill="auto"/>
            <w:vAlign w:val="center"/>
          </w:tcPr>
          <w:p>
            <w:pPr>
              <w:ind w:firstLine="0" w:firstLineChars="0"/>
              <w:jc w:val="center"/>
              <w:rPr>
                <w:rFonts w:cs="宋体"/>
                <w:b/>
                <w:i/>
                <w:kern w:val="0"/>
                <w:szCs w:val="24"/>
                <w:u w:val="single"/>
              </w:rPr>
            </w:pPr>
            <w:r>
              <w:rPr>
                <w:rFonts w:cs="宋体"/>
                <w:b/>
                <w:i/>
                <w:kern w:val="0"/>
                <w:szCs w:val="24"/>
                <w:u w:val="single"/>
              </w:rPr>
              <w:t>1</w:t>
            </w:r>
          </w:p>
        </w:tc>
        <w:tc>
          <w:tcPr>
            <w:tcW w:w="2977" w:type="dxa"/>
            <w:shd w:val="clear" w:color="auto" w:fill="auto"/>
            <w:vAlign w:val="center"/>
          </w:tcPr>
          <w:p>
            <w:pPr>
              <w:ind w:firstLine="0" w:firstLineChars="0"/>
              <w:jc w:val="center"/>
              <w:rPr>
                <w:rFonts w:cs="宋体"/>
                <w:b/>
                <w:i/>
                <w:kern w:val="0"/>
                <w:szCs w:val="24"/>
                <w:u w:val="single"/>
              </w:rPr>
            </w:pPr>
            <w:r>
              <w:rPr>
                <w:rFonts w:hint="eastAsia" w:cs="宋体"/>
                <w:b/>
                <w:i/>
                <w:kern w:val="0"/>
                <w:szCs w:val="24"/>
                <w:u w:val="single"/>
              </w:rPr>
              <w:t>中标后14天提交</w:t>
            </w:r>
            <w:r>
              <w:rPr>
                <w:rFonts w:cs="宋体"/>
                <w:b/>
                <w:i/>
                <w:kern w:val="0"/>
                <w:szCs w:val="24"/>
                <w:u w:val="single"/>
              </w:rPr>
              <w:t>施工组织设计时提交</w:t>
            </w:r>
          </w:p>
        </w:tc>
        <w:tc>
          <w:tcPr>
            <w:tcW w:w="1355" w:type="dxa"/>
            <w:shd w:val="clear" w:color="auto" w:fill="auto"/>
            <w:vAlign w:val="center"/>
          </w:tcPr>
          <w:p>
            <w:pPr>
              <w:ind w:firstLine="0" w:firstLineChars="0"/>
              <w:jc w:val="center"/>
              <w:rPr>
                <w:rFonts w:cs="宋体"/>
                <w:b/>
                <w:i/>
                <w:kern w:val="0"/>
                <w:szCs w:val="24"/>
                <w:u w:val="single"/>
              </w:rPr>
            </w:pPr>
            <w:r>
              <w:rPr>
                <w:rFonts w:hint="eastAsia" w:cs="宋体"/>
                <w:b/>
                <w:i/>
                <w:kern w:val="0"/>
                <w:szCs w:val="24"/>
                <w:u w:val="single"/>
              </w:rPr>
              <w:t>发包人批准后执行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1" w:type="dxa"/>
            <w:shd w:val="clear" w:color="auto" w:fill="auto"/>
            <w:vAlign w:val="center"/>
          </w:tcPr>
          <w:p>
            <w:pPr>
              <w:ind w:firstLine="0" w:firstLineChars="0"/>
              <w:jc w:val="center"/>
              <w:rPr>
                <w:rFonts w:cs="宋体"/>
                <w:b/>
                <w:i/>
                <w:kern w:val="0"/>
                <w:szCs w:val="24"/>
                <w:u w:val="single"/>
              </w:rPr>
            </w:pPr>
            <w:r>
              <w:rPr>
                <w:rFonts w:cs="宋体"/>
                <w:b/>
                <w:i/>
                <w:kern w:val="0"/>
                <w:szCs w:val="24"/>
                <w:u w:val="single"/>
              </w:rPr>
              <w:t>2</w:t>
            </w:r>
          </w:p>
        </w:tc>
        <w:tc>
          <w:tcPr>
            <w:tcW w:w="2215" w:type="dxa"/>
            <w:shd w:val="clear" w:color="auto" w:fill="auto"/>
            <w:vAlign w:val="center"/>
          </w:tcPr>
          <w:p>
            <w:pPr>
              <w:ind w:firstLine="0" w:firstLineChars="0"/>
              <w:jc w:val="center"/>
              <w:rPr>
                <w:rFonts w:cs="宋体"/>
                <w:b/>
                <w:i/>
                <w:kern w:val="0"/>
                <w:szCs w:val="24"/>
                <w:u w:val="single"/>
              </w:rPr>
            </w:pPr>
            <w:r>
              <w:rPr>
                <w:rFonts w:hint="eastAsia" w:cs="宋体"/>
                <w:b/>
                <w:i/>
                <w:kern w:val="0"/>
                <w:szCs w:val="24"/>
                <w:u w:val="single"/>
              </w:rPr>
              <w:t>施工BIM模型</w:t>
            </w:r>
          </w:p>
        </w:tc>
        <w:tc>
          <w:tcPr>
            <w:tcW w:w="868" w:type="dxa"/>
            <w:shd w:val="clear" w:color="auto" w:fill="auto"/>
            <w:vAlign w:val="center"/>
          </w:tcPr>
          <w:p>
            <w:pPr>
              <w:ind w:firstLine="0" w:firstLineChars="0"/>
              <w:jc w:val="center"/>
              <w:rPr>
                <w:rFonts w:cs="宋体"/>
                <w:b/>
                <w:i/>
                <w:kern w:val="0"/>
                <w:szCs w:val="24"/>
                <w:u w:val="single"/>
              </w:rPr>
            </w:pPr>
            <w:r>
              <w:rPr>
                <w:rFonts w:cs="宋体"/>
                <w:b/>
                <w:i/>
                <w:kern w:val="0"/>
                <w:szCs w:val="24"/>
                <w:u w:val="single"/>
              </w:rPr>
              <w:t>1</w:t>
            </w:r>
          </w:p>
        </w:tc>
        <w:tc>
          <w:tcPr>
            <w:tcW w:w="2977" w:type="dxa"/>
            <w:shd w:val="clear" w:color="auto" w:fill="auto"/>
            <w:vAlign w:val="center"/>
          </w:tcPr>
          <w:p>
            <w:pPr>
              <w:ind w:firstLine="0" w:firstLineChars="0"/>
              <w:jc w:val="center"/>
              <w:rPr>
                <w:rFonts w:cs="宋体"/>
                <w:b/>
                <w:i/>
                <w:kern w:val="0"/>
                <w:szCs w:val="24"/>
                <w:u w:val="single"/>
              </w:rPr>
            </w:pPr>
            <w:r>
              <w:rPr>
                <w:rFonts w:hint="eastAsia" w:cs="宋体"/>
                <w:b/>
                <w:i/>
                <w:kern w:val="0"/>
                <w:szCs w:val="24"/>
                <w:u w:val="single"/>
              </w:rPr>
              <w:t>中标后14天提交</w:t>
            </w:r>
            <w:r>
              <w:rPr>
                <w:rFonts w:cs="宋体"/>
                <w:b/>
                <w:i/>
                <w:kern w:val="0"/>
                <w:szCs w:val="24"/>
                <w:u w:val="single"/>
              </w:rPr>
              <w:t>施工组织设计时</w:t>
            </w:r>
            <w:r>
              <w:rPr>
                <w:rFonts w:hint="eastAsia" w:cs="宋体"/>
                <w:b/>
                <w:i/>
                <w:kern w:val="0"/>
                <w:szCs w:val="24"/>
                <w:u w:val="single"/>
              </w:rPr>
              <w:t>第一次</w:t>
            </w:r>
            <w:r>
              <w:rPr>
                <w:rFonts w:cs="宋体"/>
                <w:b/>
                <w:i/>
                <w:kern w:val="0"/>
                <w:szCs w:val="24"/>
                <w:u w:val="single"/>
              </w:rPr>
              <w:t>提交，之后</w:t>
            </w:r>
            <w:r>
              <w:rPr>
                <w:rFonts w:hint="eastAsia" w:cs="宋体"/>
                <w:b/>
                <w:i/>
                <w:kern w:val="0"/>
                <w:szCs w:val="24"/>
                <w:u w:val="single"/>
              </w:rPr>
              <w:t>每月</w:t>
            </w:r>
            <w:r>
              <w:rPr>
                <w:rFonts w:cs="宋体"/>
                <w:b/>
                <w:i/>
                <w:kern w:val="0"/>
                <w:szCs w:val="24"/>
                <w:u w:val="single"/>
              </w:rPr>
              <w:t>更新</w:t>
            </w:r>
            <w:r>
              <w:rPr>
                <w:rFonts w:hint="eastAsia" w:cs="宋体"/>
                <w:b/>
                <w:i/>
                <w:kern w:val="0"/>
                <w:szCs w:val="24"/>
                <w:u w:val="single"/>
              </w:rPr>
              <w:t>模型及</w:t>
            </w:r>
            <w:r>
              <w:rPr>
                <w:rFonts w:cs="宋体"/>
                <w:b/>
                <w:i/>
                <w:kern w:val="0"/>
                <w:szCs w:val="24"/>
                <w:u w:val="single"/>
              </w:rPr>
              <w:t>信息</w:t>
            </w:r>
          </w:p>
        </w:tc>
        <w:tc>
          <w:tcPr>
            <w:tcW w:w="1355" w:type="dxa"/>
            <w:shd w:val="clear" w:color="auto" w:fill="auto"/>
            <w:vAlign w:val="center"/>
          </w:tcPr>
          <w:p>
            <w:pPr>
              <w:ind w:firstLine="0" w:firstLineChars="0"/>
              <w:jc w:val="center"/>
              <w:rPr>
                <w:rFonts w:cs="宋体"/>
                <w:b/>
                <w:i/>
                <w:kern w:val="0"/>
                <w:szCs w:val="24"/>
                <w:u w:val="single"/>
              </w:rPr>
            </w:pPr>
            <w:r>
              <w:rPr>
                <w:rFonts w:hint="eastAsia" w:cs="宋体"/>
                <w:b/>
                <w:i/>
                <w:kern w:val="0"/>
                <w:szCs w:val="24"/>
                <w:u w:val="single"/>
              </w:rPr>
              <w:t>根据施工进度提供分阶段、分区域提供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1" w:type="dxa"/>
            <w:shd w:val="clear" w:color="auto" w:fill="auto"/>
            <w:vAlign w:val="center"/>
          </w:tcPr>
          <w:p>
            <w:pPr>
              <w:ind w:firstLine="0" w:firstLineChars="0"/>
              <w:jc w:val="center"/>
              <w:rPr>
                <w:rFonts w:cs="宋体"/>
                <w:b/>
                <w:i/>
                <w:kern w:val="0"/>
                <w:szCs w:val="24"/>
                <w:u w:val="single"/>
              </w:rPr>
            </w:pPr>
            <w:r>
              <w:rPr>
                <w:rFonts w:cs="宋体"/>
                <w:b/>
                <w:i/>
                <w:kern w:val="0"/>
                <w:szCs w:val="24"/>
                <w:u w:val="single"/>
              </w:rPr>
              <w:t>3</w:t>
            </w:r>
          </w:p>
        </w:tc>
        <w:tc>
          <w:tcPr>
            <w:tcW w:w="2215" w:type="dxa"/>
            <w:shd w:val="clear" w:color="auto" w:fill="auto"/>
            <w:vAlign w:val="center"/>
          </w:tcPr>
          <w:p>
            <w:pPr>
              <w:ind w:firstLine="0" w:firstLineChars="0"/>
              <w:jc w:val="center"/>
              <w:rPr>
                <w:rFonts w:cs="宋体"/>
                <w:b/>
                <w:i/>
                <w:kern w:val="0"/>
                <w:szCs w:val="24"/>
                <w:u w:val="single"/>
              </w:rPr>
            </w:pPr>
            <w:r>
              <w:rPr>
                <w:rFonts w:hint="eastAsia" w:cs="宋体"/>
                <w:b/>
                <w:i/>
                <w:kern w:val="0"/>
                <w:szCs w:val="24"/>
                <w:u w:val="single"/>
              </w:rPr>
              <w:t>基于BIM的4D进度模拟计划</w:t>
            </w:r>
          </w:p>
        </w:tc>
        <w:tc>
          <w:tcPr>
            <w:tcW w:w="868" w:type="dxa"/>
            <w:shd w:val="clear" w:color="auto" w:fill="auto"/>
            <w:vAlign w:val="center"/>
          </w:tcPr>
          <w:p>
            <w:pPr>
              <w:ind w:firstLine="0" w:firstLineChars="0"/>
              <w:jc w:val="center"/>
              <w:rPr>
                <w:rFonts w:cs="宋体"/>
                <w:b/>
                <w:i/>
                <w:kern w:val="0"/>
                <w:szCs w:val="24"/>
                <w:u w:val="single"/>
              </w:rPr>
            </w:pPr>
            <w:r>
              <w:rPr>
                <w:rFonts w:hint="eastAsia" w:cs="宋体"/>
                <w:b/>
                <w:i/>
                <w:kern w:val="0"/>
                <w:szCs w:val="24"/>
                <w:u w:val="single"/>
              </w:rPr>
              <w:t>若干</w:t>
            </w:r>
          </w:p>
        </w:tc>
        <w:tc>
          <w:tcPr>
            <w:tcW w:w="2977" w:type="dxa"/>
            <w:shd w:val="clear" w:color="auto" w:fill="auto"/>
            <w:vAlign w:val="center"/>
          </w:tcPr>
          <w:p>
            <w:pPr>
              <w:ind w:firstLine="0" w:firstLineChars="0"/>
              <w:jc w:val="center"/>
              <w:rPr>
                <w:rFonts w:cs="宋体"/>
                <w:b/>
                <w:i/>
                <w:kern w:val="0"/>
                <w:szCs w:val="24"/>
                <w:u w:val="single"/>
              </w:rPr>
            </w:pPr>
            <w:r>
              <w:rPr>
                <w:rFonts w:hint="eastAsia" w:cs="宋体"/>
                <w:b/>
                <w:i/>
                <w:kern w:val="0"/>
                <w:szCs w:val="24"/>
                <w:u w:val="single"/>
              </w:rPr>
              <w:t>中标后14天提交</w:t>
            </w:r>
            <w:r>
              <w:rPr>
                <w:rFonts w:cs="宋体"/>
                <w:b/>
                <w:i/>
                <w:kern w:val="0"/>
                <w:szCs w:val="24"/>
                <w:u w:val="single"/>
              </w:rPr>
              <w:t>施工组织设计时</w:t>
            </w:r>
            <w:r>
              <w:rPr>
                <w:rFonts w:hint="eastAsia" w:cs="宋体"/>
                <w:b/>
                <w:i/>
                <w:kern w:val="0"/>
                <w:szCs w:val="24"/>
                <w:u w:val="single"/>
              </w:rPr>
              <w:t>第一次</w:t>
            </w:r>
            <w:r>
              <w:rPr>
                <w:rFonts w:cs="宋体"/>
                <w:b/>
                <w:i/>
                <w:kern w:val="0"/>
                <w:szCs w:val="24"/>
                <w:u w:val="single"/>
              </w:rPr>
              <w:t>提交，</w:t>
            </w:r>
            <w:r>
              <w:rPr>
                <w:rFonts w:hint="eastAsia" w:cs="宋体"/>
                <w:b/>
                <w:i/>
                <w:kern w:val="0"/>
                <w:szCs w:val="24"/>
                <w:u w:val="single"/>
              </w:rPr>
              <w:t>之后每次</w:t>
            </w:r>
            <w:r>
              <w:rPr>
                <w:rFonts w:cs="宋体"/>
                <w:b/>
                <w:i/>
                <w:kern w:val="0"/>
                <w:szCs w:val="24"/>
                <w:u w:val="single"/>
              </w:rPr>
              <w:t>修订施工进度计划时</w:t>
            </w:r>
            <w:r>
              <w:rPr>
                <w:rFonts w:hint="eastAsia" w:cs="宋体"/>
                <w:b/>
                <w:i/>
                <w:kern w:val="0"/>
                <w:szCs w:val="24"/>
                <w:u w:val="single"/>
              </w:rPr>
              <w:t>提交</w:t>
            </w:r>
          </w:p>
        </w:tc>
        <w:tc>
          <w:tcPr>
            <w:tcW w:w="1355" w:type="dxa"/>
            <w:shd w:val="clear" w:color="auto" w:fill="auto"/>
            <w:vAlign w:val="center"/>
          </w:tcPr>
          <w:p>
            <w:pPr>
              <w:ind w:firstLine="0" w:firstLineChars="0"/>
              <w:jc w:val="center"/>
              <w:rPr>
                <w:rFonts w:cs="宋体"/>
                <w:b/>
                <w:i/>
                <w:kern w:val="0"/>
                <w:szCs w:val="24"/>
                <w:u w:val="single"/>
              </w:rPr>
            </w:pPr>
            <w:r>
              <w:rPr>
                <w:rFonts w:hint="eastAsia" w:cs="宋体"/>
                <w:b/>
                <w:i/>
                <w:kern w:val="0"/>
                <w:szCs w:val="24"/>
                <w:u w:val="single"/>
              </w:rPr>
              <w:t>发包人批准后执行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1" w:type="dxa"/>
            <w:shd w:val="clear" w:color="auto" w:fill="auto"/>
            <w:vAlign w:val="center"/>
          </w:tcPr>
          <w:p>
            <w:pPr>
              <w:ind w:firstLine="0" w:firstLineChars="0"/>
              <w:jc w:val="center"/>
              <w:rPr>
                <w:rFonts w:cs="宋体"/>
                <w:b/>
                <w:i/>
                <w:kern w:val="0"/>
                <w:szCs w:val="24"/>
                <w:u w:val="single"/>
              </w:rPr>
            </w:pPr>
            <w:r>
              <w:rPr>
                <w:rFonts w:cs="宋体"/>
                <w:b/>
                <w:i/>
                <w:kern w:val="0"/>
                <w:szCs w:val="24"/>
                <w:u w:val="single"/>
              </w:rPr>
              <w:t>4</w:t>
            </w:r>
          </w:p>
        </w:tc>
        <w:tc>
          <w:tcPr>
            <w:tcW w:w="2215" w:type="dxa"/>
            <w:shd w:val="clear" w:color="auto" w:fill="auto"/>
            <w:vAlign w:val="center"/>
          </w:tcPr>
          <w:p>
            <w:pPr>
              <w:ind w:firstLine="0" w:firstLineChars="0"/>
              <w:jc w:val="center"/>
              <w:rPr>
                <w:rFonts w:cs="宋体"/>
                <w:b/>
                <w:i/>
                <w:kern w:val="0"/>
                <w:szCs w:val="24"/>
                <w:u w:val="single"/>
              </w:rPr>
            </w:pPr>
            <w:r>
              <w:rPr>
                <w:rFonts w:hint="eastAsia" w:cs="宋体"/>
                <w:b/>
                <w:i/>
                <w:kern w:val="0"/>
                <w:szCs w:val="24"/>
                <w:u w:val="single"/>
              </w:rPr>
              <w:t>施工</w:t>
            </w:r>
            <w:r>
              <w:rPr>
                <w:rFonts w:cs="宋体"/>
                <w:b/>
                <w:i/>
                <w:kern w:val="0"/>
                <w:szCs w:val="24"/>
                <w:u w:val="single"/>
              </w:rPr>
              <w:t>方案</w:t>
            </w:r>
            <w:r>
              <w:rPr>
                <w:rFonts w:hint="eastAsia" w:cs="宋体"/>
                <w:b/>
                <w:i/>
                <w:kern w:val="0"/>
                <w:szCs w:val="24"/>
                <w:u w:val="single"/>
              </w:rPr>
              <w:t>模拟的</w:t>
            </w:r>
            <w:r>
              <w:rPr>
                <w:rFonts w:cs="宋体"/>
                <w:b/>
                <w:i/>
                <w:kern w:val="0"/>
                <w:szCs w:val="24"/>
                <w:u w:val="single"/>
              </w:rPr>
              <w:t>视频</w:t>
            </w:r>
            <w:r>
              <w:rPr>
                <w:rFonts w:hint="eastAsia" w:cs="宋体"/>
                <w:b/>
                <w:i/>
                <w:kern w:val="0"/>
                <w:szCs w:val="24"/>
                <w:u w:val="single"/>
              </w:rPr>
              <w:t>文件</w:t>
            </w:r>
          </w:p>
        </w:tc>
        <w:tc>
          <w:tcPr>
            <w:tcW w:w="868" w:type="dxa"/>
            <w:shd w:val="clear" w:color="auto" w:fill="auto"/>
            <w:vAlign w:val="center"/>
          </w:tcPr>
          <w:p>
            <w:pPr>
              <w:ind w:firstLine="0" w:firstLineChars="0"/>
              <w:jc w:val="center"/>
              <w:rPr>
                <w:rFonts w:cs="宋体"/>
                <w:b/>
                <w:i/>
                <w:kern w:val="0"/>
                <w:szCs w:val="24"/>
                <w:u w:val="single"/>
              </w:rPr>
            </w:pPr>
            <w:r>
              <w:rPr>
                <w:rFonts w:cs="宋体"/>
                <w:b/>
                <w:i/>
                <w:kern w:val="0"/>
                <w:szCs w:val="24"/>
                <w:u w:val="single"/>
              </w:rPr>
              <w:t>1</w:t>
            </w:r>
          </w:p>
        </w:tc>
        <w:tc>
          <w:tcPr>
            <w:tcW w:w="2977" w:type="dxa"/>
            <w:shd w:val="clear" w:color="auto" w:fill="auto"/>
            <w:vAlign w:val="center"/>
          </w:tcPr>
          <w:p>
            <w:pPr>
              <w:ind w:firstLine="0" w:firstLineChars="0"/>
              <w:jc w:val="center"/>
              <w:rPr>
                <w:rFonts w:cs="宋体"/>
                <w:b/>
                <w:i/>
                <w:kern w:val="0"/>
                <w:szCs w:val="24"/>
                <w:u w:val="single"/>
              </w:rPr>
            </w:pPr>
            <w:r>
              <w:rPr>
                <w:rFonts w:hint="eastAsia" w:cs="宋体"/>
                <w:b/>
                <w:i/>
                <w:kern w:val="0"/>
                <w:szCs w:val="24"/>
                <w:u w:val="single"/>
              </w:rPr>
              <w:t>中标后14天提交</w:t>
            </w:r>
            <w:r>
              <w:rPr>
                <w:rFonts w:cs="宋体"/>
                <w:b/>
                <w:i/>
                <w:kern w:val="0"/>
                <w:szCs w:val="24"/>
                <w:u w:val="single"/>
              </w:rPr>
              <w:t>施工组织设计时提交</w:t>
            </w:r>
          </w:p>
        </w:tc>
        <w:tc>
          <w:tcPr>
            <w:tcW w:w="1355" w:type="dxa"/>
            <w:shd w:val="clear" w:color="auto" w:fill="auto"/>
            <w:vAlign w:val="center"/>
          </w:tcPr>
          <w:p>
            <w:pPr>
              <w:ind w:firstLine="0" w:firstLineChars="0"/>
              <w:jc w:val="center"/>
              <w:rPr>
                <w:rFonts w:cs="宋体"/>
                <w:b/>
                <w:i/>
                <w:kern w:val="0"/>
                <w:szCs w:val="24"/>
                <w:u w:val="single"/>
              </w:rPr>
            </w:pPr>
            <w:r>
              <w:rPr>
                <w:rFonts w:hint="eastAsia" w:cs="宋体"/>
                <w:b/>
                <w:i/>
                <w:kern w:val="0"/>
                <w:szCs w:val="24"/>
                <w:u w:val="single"/>
              </w:rPr>
              <w:t>发包人批准后执行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1" w:type="dxa"/>
            <w:shd w:val="clear" w:color="auto" w:fill="auto"/>
            <w:vAlign w:val="center"/>
          </w:tcPr>
          <w:p>
            <w:pPr>
              <w:ind w:firstLine="0" w:firstLineChars="0"/>
              <w:jc w:val="center"/>
              <w:rPr>
                <w:rFonts w:cs="宋体"/>
                <w:b/>
                <w:i/>
                <w:kern w:val="0"/>
                <w:szCs w:val="24"/>
                <w:u w:val="single"/>
              </w:rPr>
            </w:pPr>
            <w:r>
              <w:rPr>
                <w:rFonts w:cs="宋体"/>
                <w:b/>
                <w:i/>
                <w:kern w:val="0"/>
                <w:szCs w:val="24"/>
                <w:u w:val="single"/>
              </w:rPr>
              <w:t>5</w:t>
            </w:r>
          </w:p>
        </w:tc>
        <w:tc>
          <w:tcPr>
            <w:tcW w:w="2215" w:type="dxa"/>
            <w:shd w:val="clear" w:color="auto" w:fill="auto"/>
            <w:vAlign w:val="center"/>
          </w:tcPr>
          <w:p>
            <w:pPr>
              <w:ind w:firstLine="0" w:firstLineChars="0"/>
              <w:jc w:val="center"/>
              <w:rPr>
                <w:rFonts w:cs="宋体"/>
                <w:b/>
                <w:i/>
                <w:kern w:val="0"/>
                <w:szCs w:val="24"/>
                <w:u w:val="single"/>
              </w:rPr>
            </w:pPr>
            <w:r>
              <w:rPr>
                <w:rFonts w:hint="eastAsia" w:cs="宋体"/>
                <w:b/>
                <w:i/>
                <w:kern w:val="0"/>
                <w:szCs w:val="24"/>
                <w:u w:val="single"/>
              </w:rPr>
              <w:t>专项施工方案模拟的</w:t>
            </w:r>
            <w:r>
              <w:rPr>
                <w:rFonts w:cs="宋体"/>
                <w:b/>
                <w:i/>
                <w:kern w:val="0"/>
                <w:szCs w:val="24"/>
                <w:u w:val="single"/>
              </w:rPr>
              <w:t>视频</w:t>
            </w:r>
            <w:r>
              <w:rPr>
                <w:rFonts w:hint="eastAsia" w:cs="宋体"/>
                <w:b/>
                <w:i/>
                <w:kern w:val="0"/>
                <w:szCs w:val="24"/>
                <w:u w:val="single"/>
              </w:rPr>
              <w:t>文件</w:t>
            </w:r>
          </w:p>
        </w:tc>
        <w:tc>
          <w:tcPr>
            <w:tcW w:w="868" w:type="dxa"/>
            <w:shd w:val="clear" w:color="auto" w:fill="auto"/>
            <w:vAlign w:val="center"/>
          </w:tcPr>
          <w:p>
            <w:pPr>
              <w:ind w:firstLine="0" w:firstLineChars="0"/>
              <w:jc w:val="center"/>
              <w:rPr>
                <w:rFonts w:cs="宋体"/>
                <w:b/>
                <w:i/>
                <w:kern w:val="0"/>
                <w:szCs w:val="24"/>
                <w:u w:val="single"/>
              </w:rPr>
            </w:pPr>
            <w:r>
              <w:rPr>
                <w:rFonts w:hint="eastAsia" w:cs="宋体"/>
                <w:b/>
                <w:i/>
                <w:kern w:val="0"/>
                <w:szCs w:val="24"/>
                <w:u w:val="single"/>
              </w:rPr>
              <w:t>若干</w:t>
            </w:r>
          </w:p>
        </w:tc>
        <w:tc>
          <w:tcPr>
            <w:tcW w:w="2977" w:type="dxa"/>
            <w:shd w:val="clear" w:color="auto" w:fill="auto"/>
            <w:vAlign w:val="center"/>
          </w:tcPr>
          <w:p>
            <w:pPr>
              <w:ind w:firstLine="0" w:firstLineChars="0"/>
              <w:jc w:val="center"/>
              <w:rPr>
                <w:rFonts w:cs="宋体"/>
                <w:b/>
                <w:i/>
                <w:kern w:val="0"/>
                <w:szCs w:val="24"/>
                <w:u w:val="single"/>
              </w:rPr>
            </w:pPr>
            <w:r>
              <w:rPr>
                <w:rFonts w:hint="eastAsia" w:cs="宋体"/>
                <w:b/>
                <w:i/>
                <w:kern w:val="0"/>
                <w:szCs w:val="24"/>
                <w:u w:val="single"/>
              </w:rPr>
              <w:t>提交专项施工方案时</w:t>
            </w:r>
          </w:p>
        </w:tc>
        <w:tc>
          <w:tcPr>
            <w:tcW w:w="1355" w:type="dxa"/>
            <w:shd w:val="clear" w:color="auto" w:fill="auto"/>
            <w:vAlign w:val="center"/>
          </w:tcPr>
          <w:p>
            <w:pPr>
              <w:ind w:firstLine="0" w:firstLineChars="0"/>
              <w:jc w:val="center"/>
              <w:rPr>
                <w:rFonts w:cs="宋体"/>
                <w:b/>
                <w:i/>
                <w:kern w:val="0"/>
                <w:szCs w:val="24"/>
                <w:u w:val="single"/>
              </w:rPr>
            </w:pPr>
            <w:r>
              <w:rPr>
                <w:rFonts w:hint="eastAsia" w:cs="宋体"/>
                <w:b/>
                <w:i/>
                <w:kern w:val="0"/>
                <w:szCs w:val="24"/>
                <w:u w:val="single"/>
              </w:rPr>
              <w:t>发包人批准后执行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1" w:type="dxa"/>
            <w:shd w:val="clear" w:color="auto" w:fill="auto"/>
            <w:vAlign w:val="center"/>
          </w:tcPr>
          <w:p>
            <w:pPr>
              <w:ind w:firstLine="0" w:firstLineChars="0"/>
              <w:jc w:val="center"/>
              <w:rPr>
                <w:rFonts w:cs="宋体"/>
                <w:b/>
                <w:i/>
                <w:kern w:val="0"/>
                <w:szCs w:val="24"/>
                <w:u w:val="single"/>
              </w:rPr>
            </w:pPr>
            <w:r>
              <w:rPr>
                <w:rFonts w:hint="eastAsia" w:cs="宋体"/>
                <w:b/>
                <w:i/>
                <w:kern w:val="0"/>
                <w:szCs w:val="24"/>
                <w:u w:val="single"/>
              </w:rPr>
              <w:t>6</w:t>
            </w:r>
          </w:p>
        </w:tc>
        <w:tc>
          <w:tcPr>
            <w:tcW w:w="2215" w:type="dxa"/>
            <w:shd w:val="clear" w:color="auto" w:fill="auto"/>
            <w:vAlign w:val="center"/>
          </w:tcPr>
          <w:p>
            <w:pPr>
              <w:ind w:firstLine="0" w:firstLineChars="0"/>
              <w:jc w:val="center"/>
              <w:rPr>
                <w:rFonts w:cs="宋体"/>
                <w:b/>
                <w:i/>
                <w:kern w:val="0"/>
                <w:szCs w:val="24"/>
                <w:u w:val="single"/>
              </w:rPr>
            </w:pPr>
            <w:r>
              <w:rPr>
                <w:rFonts w:hint="eastAsia" w:cs="宋体"/>
                <w:b/>
                <w:i/>
                <w:kern w:val="0"/>
                <w:szCs w:val="24"/>
                <w:u w:val="single"/>
              </w:rPr>
              <w:t>竣工BIM</w:t>
            </w:r>
            <w:r>
              <w:rPr>
                <w:rFonts w:cs="宋体"/>
                <w:b/>
                <w:i/>
                <w:kern w:val="0"/>
                <w:szCs w:val="24"/>
                <w:u w:val="single"/>
              </w:rPr>
              <w:t>模型</w:t>
            </w:r>
          </w:p>
        </w:tc>
        <w:tc>
          <w:tcPr>
            <w:tcW w:w="868" w:type="dxa"/>
            <w:shd w:val="clear" w:color="auto" w:fill="auto"/>
            <w:vAlign w:val="center"/>
          </w:tcPr>
          <w:p>
            <w:pPr>
              <w:ind w:firstLine="0" w:firstLineChars="0"/>
              <w:jc w:val="center"/>
              <w:rPr>
                <w:rFonts w:cs="宋体"/>
                <w:b/>
                <w:i/>
                <w:kern w:val="0"/>
                <w:szCs w:val="24"/>
                <w:u w:val="single"/>
              </w:rPr>
            </w:pPr>
            <w:r>
              <w:rPr>
                <w:rFonts w:cs="宋体"/>
                <w:b/>
                <w:i/>
                <w:kern w:val="0"/>
                <w:szCs w:val="24"/>
                <w:u w:val="single"/>
              </w:rPr>
              <w:t>1</w:t>
            </w:r>
          </w:p>
        </w:tc>
        <w:tc>
          <w:tcPr>
            <w:tcW w:w="2977" w:type="dxa"/>
            <w:shd w:val="clear" w:color="auto" w:fill="auto"/>
            <w:vAlign w:val="center"/>
          </w:tcPr>
          <w:p>
            <w:pPr>
              <w:ind w:firstLine="0" w:firstLineChars="0"/>
              <w:jc w:val="center"/>
              <w:rPr>
                <w:rFonts w:cs="宋体"/>
                <w:b/>
                <w:i/>
                <w:kern w:val="0"/>
                <w:szCs w:val="24"/>
                <w:u w:val="single"/>
              </w:rPr>
            </w:pPr>
            <w:r>
              <w:rPr>
                <w:rFonts w:hint="eastAsia" w:cs="宋体"/>
                <w:b/>
                <w:i/>
                <w:kern w:val="0"/>
                <w:szCs w:val="24"/>
                <w:u w:val="single"/>
              </w:rPr>
              <w:t>申请竣工</w:t>
            </w:r>
            <w:r>
              <w:rPr>
                <w:rFonts w:cs="宋体"/>
                <w:b/>
                <w:i/>
                <w:kern w:val="0"/>
                <w:szCs w:val="24"/>
                <w:u w:val="single"/>
              </w:rPr>
              <w:t>验收时</w:t>
            </w:r>
          </w:p>
        </w:tc>
        <w:tc>
          <w:tcPr>
            <w:tcW w:w="1355" w:type="dxa"/>
            <w:shd w:val="clear" w:color="auto" w:fill="auto"/>
            <w:vAlign w:val="center"/>
          </w:tcPr>
          <w:p>
            <w:pPr>
              <w:ind w:firstLine="0" w:firstLineChars="0"/>
              <w:jc w:val="center"/>
              <w:rPr>
                <w:rFonts w:cs="宋体"/>
                <w:b/>
                <w:i/>
                <w:kern w:val="0"/>
                <w:szCs w:val="24"/>
                <w:u w:val="single"/>
              </w:rPr>
            </w:pPr>
          </w:p>
        </w:tc>
      </w:tr>
    </w:tbl>
    <w:p>
      <w:pPr>
        <w:ind w:firstLine="600"/>
        <w:jc w:val="left"/>
        <w:outlineLvl w:val="2"/>
        <w:rPr>
          <w:rFonts w:eastAsia="仿宋_GB2312"/>
          <w:color w:val="000000"/>
          <w:sz w:val="30"/>
          <w:szCs w:val="32"/>
        </w:rPr>
        <w:sectPr>
          <w:pgSz w:w="11906" w:h="16838"/>
          <w:pgMar w:top="1440" w:right="1797" w:bottom="1440" w:left="1797" w:header="851" w:footer="992" w:gutter="0"/>
          <w:cols w:space="425" w:num="1"/>
          <w:docGrid w:type="linesAndChars" w:linePitch="312" w:charSpace="0"/>
        </w:sectPr>
      </w:pPr>
    </w:p>
    <w:p>
      <w:pPr>
        <w:pStyle w:val="4"/>
        <w:ind w:firstLine="0" w:firstLineChars="0"/>
        <w:rPr>
          <w:b/>
          <w:i/>
          <w:u w:val="single"/>
        </w:rPr>
      </w:pPr>
      <w:r>
        <w:rPr>
          <w:b/>
          <w:i/>
          <w:u w:val="single"/>
        </w:rPr>
        <w:t>附</w:t>
      </w:r>
      <w:bookmarkStart w:id="109" w:name="_Toc296944567"/>
      <w:bookmarkStart w:id="110" w:name="_Toc296891268"/>
      <w:bookmarkStart w:id="111" w:name="_Toc296891056"/>
      <w:bookmarkStart w:id="112" w:name="_Toc296503228"/>
      <w:bookmarkStart w:id="113" w:name="_Toc296347227"/>
      <w:bookmarkStart w:id="114" w:name="_Toc296346729"/>
      <w:bookmarkStart w:id="115" w:name="_Toc267261699"/>
      <w:r>
        <w:rPr>
          <w:b/>
          <w:i/>
          <w:u w:val="single"/>
        </w:rPr>
        <w:t>件</w:t>
      </w:r>
      <w:r>
        <w:rPr>
          <w:rFonts w:hint="eastAsia"/>
          <w:b/>
          <w:i/>
          <w:u w:val="single"/>
        </w:rPr>
        <w:t>7</w:t>
      </w:r>
      <w:r>
        <w:rPr>
          <w:b/>
          <w:i/>
          <w:u w:val="single"/>
        </w:rPr>
        <w:t>：</w:t>
      </w:r>
    </w:p>
    <w:bookmarkEnd w:id="109"/>
    <w:bookmarkEnd w:id="110"/>
    <w:bookmarkEnd w:id="111"/>
    <w:bookmarkEnd w:id="112"/>
    <w:bookmarkEnd w:id="113"/>
    <w:bookmarkEnd w:id="114"/>
    <w:bookmarkEnd w:id="115"/>
    <w:p>
      <w:pPr>
        <w:ind w:firstLine="482"/>
        <w:jc w:val="center"/>
        <w:rPr>
          <w:b/>
          <w:i/>
          <w:sz w:val="30"/>
          <w:szCs w:val="30"/>
          <w:u w:val="single"/>
        </w:rPr>
      </w:pPr>
      <w:r>
        <w:rPr>
          <w:b/>
          <w:i/>
          <w:u w:val="single"/>
        </w:rPr>
        <w:t>承包人主要施工管理人员表</w:t>
      </w:r>
    </w:p>
    <w:tbl>
      <w:tblPr>
        <w:tblStyle w:val="15"/>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196"/>
        <w:gridCol w:w="1134"/>
        <w:gridCol w:w="1093"/>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96" w:type="dxa"/>
            <w:tcBorders>
              <w:top w:val="single" w:color="auto" w:sz="12" w:space="0"/>
              <w:bottom w:val="double" w:color="auto" w:sz="6" w:space="0"/>
            </w:tcBorders>
            <w:vAlign w:val="center"/>
          </w:tcPr>
          <w:p>
            <w:pPr>
              <w:pStyle w:val="8"/>
              <w:keepNext/>
              <w:spacing w:after="0" w:line="360" w:lineRule="auto"/>
              <w:ind w:right="72" w:firstLine="0" w:firstLineChars="0"/>
              <w:rPr>
                <w:rFonts w:eastAsia="宋体"/>
                <w:color w:val="000000"/>
                <w:szCs w:val="24"/>
              </w:rPr>
            </w:pPr>
            <w:r>
              <w:rPr>
                <w:rFonts w:eastAsia="宋体"/>
                <w:color w:val="000000"/>
                <w:szCs w:val="24"/>
              </w:rPr>
              <w:t>名    称</w:t>
            </w:r>
          </w:p>
        </w:tc>
        <w:tc>
          <w:tcPr>
            <w:tcW w:w="1134" w:type="dxa"/>
            <w:tcBorders>
              <w:top w:val="single" w:color="auto" w:sz="12" w:space="0"/>
              <w:bottom w:val="double" w:color="auto" w:sz="6" w:space="0"/>
            </w:tcBorders>
            <w:vAlign w:val="center"/>
          </w:tcPr>
          <w:p>
            <w:pPr>
              <w:pStyle w:val="8"/>
              <w:keepNext/>
              <w:spacing w:after="0" w:line="360" w:lineRule="auto"/>
              <w:ind w:right="72" w:firstLine="0" w:firstLineChars="0"/>
              <w:rPr>
                <w:rFonts w:eastAsia="宋体"/>
                <w:color w:val="000000"/>
                <w:szCs w:val="24"/>
              </w:rPr>
            </w:pPr>
            <w:r>
              <w:rPr>
                <w:rFonts w:eastAsia="宋体"/>
                <w:color w:val="000000"/>
                <w:szCs w:val="24"/>
              </w:rPr>
              <w:t>姓名</w:t>
            </w:r>
          </w:p>
        </w:tc>
        <w:tc>
          <w:tcPr>
            <w:tcW w:w="1093" w:type="dxa"/>
            <w:tcBorders>
              <w:top w:val="single" w:color="auto" w:sz="12" w:space="0"/>
              <w:bottom w:val="double" w:color="auto" w:sz="6" w:space="0"/>
            </w:tcBorders>
            <w:vAlign w:val="center"/>
          </w:tcPr>
          <w:p>
            <w:pPr>
              <w:pStyle w:val="8"/>
              <w:keepNext/>
              <w:spacing w:after="0" w:line="360" w:lineRule="auto"/>
              <w:ind w:right="72" w:firstLine="0" w:firstLineChars="0"/>
              <w:rPr>
                <w:rFonts w:eastAsia="宋体"/>
                <w:color w:val="000000"/>
                <w:szCs w:val="24"/>
              </w:rPr>
            </w:pPr>
            <w:r>
              <w:rPr>
                <w:rFonts w:eastAsia="宋体"/>
                <w:color w:val="000000"/>
                <w:szCs w:val="24"/>
              </w:rPr>
              <w:t>职务</w:t>
            </w:r>
          </w:p>
        </w:tc>
        <w:tc>
          <w:tcPr>
            <w:tcW w:w="1134" w:type="dxa"/>
            <w:tcBorders>
              <w:top w:val="single" w:color="auto" w:sz="12" w:space="0"/>
              <w:bottom w:val="double" w:color="auto" w:sz="6" w:space="0"/>
            </w:tcBorders>
            <w:vAlign w:val="center"/>
          </w:tcPr>
          <w:p>
            <w:pPr>
              <w:pStyle w:val="8"/>
              <w:keepNext/>
              <w:spacing w:after="0" w:line="360" w:lineRule="auto"/>
              <w:ind w:right="72" w:firstLine="0" w:firstLineChars="0"/>
              <w:rPr>
                <w:rFonts w:eastAsia="宋体"/>
                <w:color w:val="000000"/>
                <w:szCs w:val="24"/>
              </w:rPr>
            </w:pPr>
            <w:r>
              <w:rPr>
                <w:rFonts w:eastAsia="宋体"/>
                <w:color w:val="000000"/>
                <w:szCs w:val="24"/>
              </w:rPr>
              <w:t>职称</w:t>
            </w:r>
          </w:p>
        </w:tc>
        <w:tc>
          <w:tcPr>
            <w:tcW w:w="4252" w:type="dxa"/>
            <w:tcBorders>
              <w:top w:val="single" w:color="auto" w:sz="12" w:space="0"/>
              <w:bottom w:val="double" w:color="auto" w:sz="6" w:space="0"/>
            </w:tcBorders>
            <w:vAlign w:val="center"/>
          </w:tcPr>
          <w:p>
            <w:pPr>
              <w:pStyle w:val="8"/>
              <w:keepNext/>
              <w:spacing w:after="0" w:line="360" w:lineRule="auto"/>
              <w:ind w:right="72" w:firstLine="0" w:firstLineChars="0"/>
              <w:rPr>
                <w:rFonts w:eastAsia="宋体"/>
                <w:color w:val="000000"/>
                <w:szCs w:val="24"/>
              </w:rPr>
            </w:pPr>
            <w:r>
              <w:rPr>
                <w:rFonts w:eastAsia="宋体"/>
                <w:color w:val="000000"/>
                <w:szCs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9809" w:type="dxa"/>
            <w:gridSpan w:val="5"/>
            <w:tcBorders>
              <w:top w:val="double" w:color="auto" w:sz="6" w:space="0"/>
              <w:bottom w:val="single" w:color="auto" w:sz="6" w:space="0"/>
            </w:tcBorders>
            <w:vAlign w:val="center"/>
          </w:tcPr>
          <w:p>
            <w:pPr>
              <w:pStyle w:val="8"/>
              <w:keepNext/>
              <w:spacing w:after="0" w:line="360" w:lineRule="auto"/>
              <w:ind w:right="72" w:firstLine="0" w:firstLineChars="0"/>
              <w:rPr>
                <w:rFonts w:eastAsia="宋体"/>
                <w:color w:val="000000"/>
                <w:szCs w:val="24"/>
              </w:rPr>
            </w:pPr>
            <w:r>
              <w:rPr>
                <w:rFonts w:eastAsia="宋体"/>
                <w:color w:val="000000"/>
                <w:szCs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96" w:type="dxa"/>
            <w:tcBorders>
              <w:top w:val="single" w:color="auto" w:sz="2" w:space="0"/>
              <w:bottom w:val="single" w:color="auto" w:sz="2" w:space="0"/>
              <w:right w:val="single" w:color="auto" w:sz="2" w:space="0"/>
            </w:tcBorders>
            <w:vAlign w:val="center"/>
          </w:tcPr>
          <w:p>
            <w:pPr>
              <w:pStyle w:val="8"/>
              <w:keepNext/>
              <w:spacing w:after="0" w:line="360" w:lineRule="auto"/>
              <w:ind w:right="72" w:firstLine="0" w:firstLineChars="0"/>
              <w:rPr>
                <w:rFonts w:eastAsia="宋体"/>
                <w:color w:val="000000"/>
                <w:szCs w:val="24"/>
              </w:rPr>
            </w:pPr>
            <w:r>
              <w:rPr>
                <w:rFonts w:eastAsia="宋体"/>
                <w:color w:val="000000"/>
                <w:szCs w:val="24"/>
              </w:rPr>
              <w:t>项目主管</w:t>
            </w:r>
          </w:p>
        </w:tc>
        <w:tc>
          <w:tcPr>
            <w:tcW w:w="1134" w:type="dxa"/>
            <w:tcBorders>
              <w:top w:val="nil"/>
              <w:left w:val="single" w:color="auto" w:sz="2" w:space="0"/>
            </w:tcBorders>
            <w:vAlign w:val="center"/>
          </w:tcPr>
          <w:p>
            <w:pPr>
              <w:pStyle w:val="8"/>
              <w:keepNext/>
              <w:spacing w:after="0" w:line="360" w:lineRule="auto"/>
              <w:ind w:right="72" w:firstLine="0" w:firstLineChars="0"/>
              <w:rPr>
                <w:rFonts w:eastAsia="宋体"/>
                <w:color w:val="000000"/>
                <w:szCs w:val="24"/>
              </w:rPr>
            </w:pPr>
          </w:p>
        </w:tc>
        <w:tc>
          <w:tcPr>
            <w:tcW w:w="1093" w:type="dxa"/>
            <w:tcBorders>
              <w:top w:val="nil"/>
            </w:tcBorders>
            <w:vAlign w:val="center"/>
          </w:tcPr>
          <w:p>
            <w:pPr>
              <w:pStyle w:val="8"/>
              <w:keepNext/>
              <w:spacing w:after="0" w:line="360" w:lineRule="auto"/>
              <w:ind w:right="72" w:firstLine="0" w:firstLineChars="0"/>
              <w:rPr>
                <w:rFonts w:eastAsia="宋体"/>
                <w:color w:val="000000"/>
                <w:szCs w:val="24"/>
              </w:rPr>
            </w:pPr>
          </w:p>
        </w:tc>
        <w:tc>
          <w:tcPr>
            <w:tcW w:w="1134" w:type="dxa"/>
            <w:tcBorders>
              <w:top w:val="nil"/>
            </w:tcBorders>
            <w:vAlign w:val="center"/>
          </w:tcPr>
          <w:p>
            <w:pPr>
              <w:pStyle w:val="8"/>
              <w:keepNext/>
              <w:spacing w:after="0" w:line="360" w:lineRule="auto"/>
              <w:ind w:right="72" w:firstLine="0" w:firstLineChars="0"/>
              <w:rPr>
                <w:rFonts w:eastAsia="宋体"/>
                <w:color w:val="000000"/>
                <w:szCs w:val="24"/>
              </w:rPr>
            </w:pPr>
          </w:p>
        </w:tc>
        <w:tc>
          <w:tcPr>
            <w:tcW w:w="4252" w:type="dxa"/>
            <w:tcBorders>
              <w:top w:val="nil"/>
            </w:tcBorders>
            <w:vAlign w:val="center"/>
          </w:tcPr>
          <w:p>
            <w:pPr>
              <w:pStyle w:val="8"/>
              <w:keepNext/>
              <w:spacing w:after="0" w:line="360" w:lineRule="auto"/>
              <w:ind w:right="72" w:firstLine="0" w:firstLineChars="0"/>
              <w:rPr>
                <w:rFonts w:eastAsia="宋体"/>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jc w:val="center"/>
        </w:trPr>
        <w:tc>
          <w:tcPr>
            <w:tcW w:w="2196" w:type="dxa"/>
            <w:tcBorders>
              <w:top w:val="single" w:color="auto" w:sz="2" w:space="0"/>
              <w:bottom w:val="single" w:color="auto" w:sz="2" w:space="0"/>
              <w:right w:val="single" w:color="auto" w:sz="2" w:space="0"/>
            </w:tcBorders>
            <w:vAlign w:val="center"/>
          </w:tcPr>
          <w:p>
            <w:pPr>
              <w:pStyle w:val="8"/>
              <w:keepNext/>
              <w:spacing w:after="0" w:line="360" w:lineRule="auto"/>
              <w:ind w:right="72" w:firstLine="0" w:firstLineChars="0"/>
              <w:rPr>
                <w:rFonts w:eastAsia="宋体"/>
                <w:b/>
                <w:i/>
                <w:color w:val="000000"/>
                <w:szCs w:val="24"/>
                <w:u w:val="single"/>
              </w:rPr>
            </w:pPr>
            <w:r>
              <w:rPr>
                <w:rFonts w:eastAsia="宋体"/>
                <w:b/>
                <w:i/>
                <w:color w:val="000000"/>
                <w:szCs w:val="24"/>
                <w:u w:val="single"/>
              </w:rPr>
              <w:t>BIM技术主管</w:t>
            </w:r>
          </w:p>
        </w:tc>
        <w:tc>
          <w:tcPr>
            <w:tcW w:w="1134" w:type="dxa"/>
            <w:tcBorders>
              <w:top w:val="nil"/>
              <w:left w:val="single" w:color="auto" w:sz="2" w:space="0"/>
            </w:tcBorders>
            <w:vAlign w:val="center"/>
          </w:tcPr>
          <w:p>
            <w:pPr>
              <w:pStyle w:val="8"/>
              <w:keepNext/>
              <w:spacing w:after="0" w:line="360" w:lineRule="auto"/>
              <w:ind w:right="72" w:firstLine="0" w:firstLineChars="0"/>
              <w:rPr>
                <w:rFonts w:eastAsia="宋体"/>
                <w:color w:val="000000"/>
                <w:szCs w:val="24"/>
              </w:rPr>
            </w:pPr>
          </w:p>
        </w:tc>
        <w:tc>
          <w:tcPr>
            <w:tcW w:w="1093" w:type="dxa"/>
            <w:tcBorders>
              <w:top w:val="nil"/>
            </w:tcBorders>
            <w:vAlign w:val="center"/>
          </w:tcPr>
          <w:p>
            <w:pPr>
              <w:pStyle w:val="8"/>
              <w:keepNext/>
              <w:spacing w:after="0" w:line="360" w:lineRule="auto"/>
              <w:ind w:right="72" w:firstLine="0" w:firstLineChars="0"/>
              <w:rPr>
                <w:rFonts w:eastAsia="宋体"/>
                <w:color w:val="000000"/>
                <w:szCs w:val="24"/>
              </w:rPr>
            </w:pPr>
          </w:p>
        </w:tc>
        <w:tc>
          <w:tcPr>
            <w:tcW w:w="1134" w:type="dxa"/>
            <w:tcBorders>
              <w:top w:val="nil"/>
            </w:tcBorders>
            <w:vAlign w:val="center"/>
          </w:tcPr>
          <w:p>
            <w:pPr>
              <w:pStyle w:val="8"/>
              <w:keepNext/>
              <w:spacing w:after="0" w:line="360" w:lineRule="auto"/>
              <w:ind w:right="72" w:firstLine="0" w:firstLineChars="0"/>
              <w:rPr>
                <w:rFonts w:eastAsia="宋体"/>
                <w:color w:val="000000"/>
                <w:szCs w:val="24"/>
              </w:rPr>
            </w:pPr>
          </w:p>
        </w:tc>
        <w:tc>
          <w:tcPr>
            <w:tcW w:w="4252" w:type="dxa"/>
            <w:tcBorders>
              <w:top w:val="nil"/>
            </w:tcBorders>
            <w:vAlign w:val="center"/>
          </w:tcPr>
          <w:p>
            <w:pPr>
              <w:pStyle w:val="8"/>
              <w:keepNext/>
              <w:spacing w:after="0" w:line="360" w:lineRule="auto"/>
              <w:ind w:right="72" w:firstLine="0" w:firstLineChars="0"/>
              <w:rPr>
                <w:rFonts w:eastAsia="宋体"/>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96" w:type="dxa"/>
            <w:vMerge w:val="restart"/>
            <w:tcBorders>
              <w:top w:val="single" w:color="auto" w:sz="2" w:space="0"/>
            </w:tcBorders>
            <w:vAlign w:val="center"/>
          </w:tcPr>
          <w:p>
            <w:pPr>
              <w:pStyle w:val="8"/>
              <w:keepNext/>
              <w:spacing w:after="0" w:line="360" w:lineRule="auto"/>
              <w:ind w:right="72" w:firstLine="0" w:firstLineChars="0"/>
              <w:rPr>
                <w:rFonts w:eastAsia="宋体"/>
                <w:color w:val="000000"/>
                <w:szCs w:val="24"/>
              </w:rPr>
            </w:pPr>
            <w:r>
              <w:rPr>
                <w:rFonts w:eastAsia="宋体"/>
                <w:color w:val="000000"/>
                <w:szCs w:val="24"/>
              </w:rPr>
              <w:t>其他人员</w:t>
            </w:r>
          </w:p>
        </w:tc>
        <w:tc>
          <w:tcPr>
            <w:tcW w:w="1134" w:type="dxa"/>
            <w:vAlign w:val="center"/>
          </w:tcPr>
          <w:p>
            <w:pPr>
              <w:pStyle w:val="8"/>
              <w:keepNext/>
              <w:spacing w:after="0" w:line="360" w:lineRule="auto"/>
              <w:ind w:right="72" w:firstLine="0" w:firstLineChars="0"/>
              <w:rPr>
                <w:rFonts w:eastAsia="宋体"/>
                <w:color w:val="000000"/>
                <w:szCs w:val="24"/>
              </w:rPr>
            </w:pPr>
          </w:p>
        </w:tc>
        <w:tc>
          <w:tcPr>
            <w:tcW w:w="1093" w:type="dxa"/>
            <w:vAlign w:val="center"/>
          </w:tcPr>
          <w:p>
            <w:pPr>
              <w:pStyle w:val="8"/>
              <w:keepNext/>
              <w:spacing w:after="0" w:line="360" w:lineRule="auto"/>
              <w:ind w:right="72" w:firstLine="0" w:firstLineChars="0"/>
              <w:rPr>
                <w:rFonts w:eastAsia="宋体"/>
                <w:color w:val="000000"/>
                <w:szCs w:val="24"/>
              </w:rPr>
            </w:pPr>
          </w:p>
        </w:tc>
        <w:tc>
          <w:tcPr>
            <w:tcW w:w="1134" w:type="dxa"/>
            <w:vAlign w:val="center"/>
          </w:tcPr>
          <w:p>
            <w:pPr>
              <w:pStyle w:val="8"/>
              <w:keepNext/>
              <w:spacing w:after="0" w:line="360" w:lineRule="auto"/>
              <w:ind w:right="72" w:firstLine="0" w:firstLineChars="0"/>
              <w:rPr>
                <w:rFonts w:eastAsia="宋体"/>
                <w:color w:val="000000"/>
                <w:szCs w:val="24"/>
              </w:rPr>
            </w:pPr>
          </w:p>
        </w:tc>
        <w:tc>
          <w:tcPr>
            <w:tcW w:w="4252" w:type="dxa"/>
            <w:vAlign w:val="center"/>
          </w:tcPr>
          <w:p>
            <w:pPr>
              <w:pStyle w:val="8"/>
              <w:keepNext/>
              <w:spacing w:after="0" w:line="360" w:lineRule="auto"/>
              <w:ind w:right="72" w:firstLine="0" w:firstLineChars="0"/>
              <w:rPr>
                <w:rFonts w:eastAsia="宋体"/>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96" w:type="dxa"/>
            <w:vMerge w:val="continue"/>
            <w:vAlign w:val="center"/>
          </w:tcPr>
          <w:p>
            <w:pPr>
              <w:pStyle w:val="8"/>
              <w:keepNext/>
              <w:spacing w:after="0" w:line="360" w:lineRule="auto"/>
              <w:ind w:right="72" w:firstLine="0" w:firstLineChars="0"/>
              <w:rPr>
                <w:rFonts w:eastAsia="宋体"/>
                <w:color w:val="000000"/>
                <w:szCs w:val="24"/>
              </w:rPr>
            </w:pPr>
          </w:p>
        </w:tc>
        <w:tc>
          <w:tcPr>
            <w:tcW w:w="1134" w:type="dxa"/>
            <w:vAlign w:val="center"/>
          </w:tcPr>
          <w:p>
            <w:pPr>
              <w:pStyle w:val="8"/>
              <w:keepNext/>
              <w:spacing w:after="0" w:line="360" w:lineRule="auto"/>
              <w:ind w:right="72" w:firstLine="0" w:firstLineChars="0"/>
              <w:rPr>
                <w:rFonts w:eastAsia="宋体"/>
                <w:color w:val="000000"/>
                <w:szCs w:val="24"/>
              </w:rPr>
            </w:pPr>
          </w:p>
        </w:tc>
        <w:tc>
          <w:tcPr>
            <w:tcW w:w="1093" w:type="dxa"/>
            <w:vAlign w:val="center"/>
          </w:tcPr>
          <w:p>
            <w:pPr>
              <w:pStyle w:val="8"/>
              <w:keepNext/>
              <w:spacing w:after="0" w:line="360" w:lineRule="auto"/>
              <w:ind w:right="72" w:firstLine="0" w:firstLineChars="0"/>
              <w:rPr>
                <w:rFonts w:eastAsia="宋体"/>
                <w:color w:val="000000"/>
                <w:szCs w:val="24"/>
              </w:rPr>
            </w:pPr>
          </w:p>
        </w:tc>
        <w:tc>
          <w:tcPr>
            <w:tcW w:w="1134" w:type="dxa"/>
            <w:vAlign w:val="center"/>
          </w:tcPr>
          <w:p>
            <w:pPr>
              <w:pStyle w:val="8"/>
              <w:keepNext/>
              <w:spacing w:after="0" w:line="360" w:lineRule="auto"/>
              <w:ind w:right="72" w:firstLine="0" w:firstLineChars="0"/>
              <w:rPr>
                <w:rFonts w:eastAsia="宋体"/>
                <w:color w:val="000000"/>
                <w:szCs w:val="24"/>
              </w:rPr>
            </w:pPr>
          </w:p>
        </w:tc>
        <w:tc>
          <w:tcPr>
            <w:tcW w:w="4252" w:type="dxa"/>
            <w:vAlign w:val="center"/>
          </w:tcPr>
          <w:p>
            <w:pPr>
              <w:pStyle w:val="8"/>
              <w:keepNext/>
              <w:spacing w:after="0" w:line="360" w:lineRule="auto"/>
              <w:ind w:right="72" w:firstLine="0" w:firstLineChars="0"/>
              <w:rPr>
                <w:rFonts w:eastAsia="宋体"/>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96" w:type="dxa"/>
            <w:vMerge w:val="continue"/>
            <w:tcBorders>
              <w:bottom w:val="nil"/>
            </w:tcBorders>
            <w:vAlign w:val="center"/>
          </w:tcPr>
          <w:p>
            <w:pPr>
              <w:pStyle w:val="8"/>
              <w:keepNext/>
              <w:spacing w:after="0" w:line="360" w:lineRule="auto"/>
              <w:ind w:left="0" w:leftChars="0" w:right="72" w:firstLine="0" w:firstLineChars="0"/>
              <w:jc w:val="both"/>
              <w:rPr>
                <w:rFonts w:eastAsia="宋体"/>
                <w:color w:val="000000"/>
                <w:szCs w:val="24"/>
              </w:rPr>
            </w:pPr>
          </w:p>
        </w:tc>
        <w:tc>
          <w:tcPr>
            <w:tcW w:w="1134" w:type="dxa"/>
            <w:vAlign w:val="center"/>
          </w:tcPr>
          <w:p>
            <w:pPr>
              <w:pStyle w:val="8"/>
              <w:keepNext/>
              <w:spacing w:after="0" w:line="360" w:lineRule="auto"/>
              <w:ind w:right="72" w:firstLine="0" w:firstLineChars="0"/>
              <w:rPr>
                <w:rFonts w:eastAsia="宋体"/>
                <w:color w:val="000000"/>
                <w:szCs w:val="24"/>
              </w:rPr>
            </w:pPr>
          </w:p>
        </w:tc>
        <w:tc>
          <w:tcPr>
            <w:tcW w:w="1093" w:type="dxa"/>
            <w:vAlign w:val="center"/>
          </w:tcPr>
          <w:p>
            <w:pPr>
              <w:pStyle w:val="8"/>
              <w:keepNext/>
              <w:spacing w:after="0" w:line="360" w:lineRule="auto"/>
              <w:ind w:right="72" w:firstLine="0" w:firstLineChars="0"/>
              <w:rPr>
                <w:rFonts w:eastAsia="宋体"/>
                <w:color w:val="000000"/>
                <w:szCs w:val="24"/>
              </w:rPr>
            </w:pPr>
          </w:p>
        </w:tc>
        <w:tc>
          <w:tcPr>
            <w:tcW w:w="1134" w:type="dxa"/>
            <w:vAlign w:val="center"/>
          </w:tcPr>
          <w:p>
            <w:pPr>
              <w:pStyle w:val="8"/>
              <w:keepNext/>
              <w:spacing w:after="0" w:line="360" w:lineRule="auto"/>
              <w:ind w:right="72" w:firstLine="0" w:firstLineChars="0"/>
              <w:rPr>
                <w:rFonts w:eastAsia="宋体"/>
                <w:color w:val="000000"/>
                <w:szCs w:val="24"/>
              </w:rPr>
            </w:pPr>
          </w:p>
        </w:tc>
        <w:tc>
          <w:tcPr>
            <w:tcW w:w="4252" w:type="dxa"/>
            <w:vAlign w:val="center"/>
          </w:tcPr>
          <w:p>
            <w:pPr>
              <w:pStyle w:val="8"/>
              <w:keepNext/>
              <w:spacing w:after="0" w:line="360" w:lineRule="auto"/>
              <w:ind w:right="72" w:firstLine="0" w:firstLineChars="0"/>
              <w:rPr>
                <w:rFonts w:eastAsia="宋体"/>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8"/>
              <w:keepNext/>
              <w:spacing w:after="0" w:line="360" w:lineRule="auto"/>
              <w:ind w:right="72" w:firstLine="0" w:firstLineChars="0"/>
              <w:rPr>
                <w:rFonts w:eastAsia="宋体"/>
                <w:color w:val="000000"/>
                <w:szCs w:val="24"/>
              </w:rPr>
            </w:pPr>
            <w:r>
              <w:rPr>
                <w:rFonts w:eastAsia="宋体"/>
                <w:color w:val="000000"/>
                <w:szCs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96" w:type="dxa"/>
            <w:tcBorders>
              <w:top w:val="single" w:color="auto" w:sz="6" w:space="0"/>
              <w:bottom w:val="single" w:color="auto" w:sz="6" w:space="0"/>
            </w:tcBorders>
            <w:vAlign w:val="center"/>
          </w:tcPr>
          <w:p>
            <w:pPr>
              <w:pStyle w:val="8"/>
              <w:keepNext/>
              <w:spacing w:after="0" w:line="360" w:lineRule="auto"/>
              <w:ind w:right="72" w:firstLine="0" w:firstLineChars="0"/>
              <w:rPr>
                <w:rFonts w:eastAsia="宋体"/>
                <w:color w:val="000000"/>
                <w:szCs w:val="24"/>
              </w:rPr>
            </w:pPr>
            <w:r>
              <w:rPr>
                <w:rFonts w:eastAsia="宋体"/>
                <w:color w:val="000000"/>
                <w:szCs w:val="24"/>
              </w:rPr>
              <w:t>项目经理</w:t>
            </w:r>
          </w:p>
        </w:tc>
        <w:tc>
          <w:tcPr>
            <w:tcW w:w="1134" w:type="dxa"/>
            <w:vAlign w:val="center"/>
          </w:tcPr>
          <w:p>
            <w:pPr>
              <w:pStyle w:val="8"/>
              <w:keepNext/>
              <w:spacing w:after="0" w:line="360" w:lineRule="auto"/>
              <w:ind w:right="72" w:firstLine="0" w:firstLineChars="0"/>
              <w:rPr>
                <w:rFonts w:eastAsia="宋体"/>
                <w:color w:val="000000"/>
                <w:szCs w:val="24"/>
              </w:rPr>
            </w:pPr>
          </w:p>
        </w:tc>
        <w:tc>
          <w:tcPr>
            <w:tcW w:w="1093" w:type="dxa"/>
            <w:vAlign w:val="center"/>
          </w:tcPr>
          <w:p>
            <w:pPr>
              <w:pStyle w:val="8"/>
              <w:keepNext/>
              <w:spacing w:after="0" w:line="360" w:lineRule="auto"/>
              <w:ind w:right="72" w:firstLine="0" w:firstLineChars="0"/>
              <w:rPr>
                <w:rFonts w:eastAsia="宋体"/>
                <w:color w:val="000000"/>
                <w:szCs w:val="24"/>
              </w:rPr>
            </w:pPr>
          </w:p>
        </w:tc>
        <w:tc>
          <w:tcPr>
            <w:tcW w:w="1134" w:type="dxa"/>
            <w:vAlign w:val="center"/>
          </w:tcPr>
          <w:p>
            <w:pPr>
              <w:pStyle w:val="8"/>
              <w:keepNext/>
              <w:spacing w:after="0" w:line="360" w:lineRule="auto"/>
              <w:ind w:right="72" w:firstLine="0" w:firstLineChars="0"/>
              <w:rPr>
                <w:rFonts w:eastAsia="宋体"/>
                <w:color w:val="000000"/>
                <w:szCs w:val="24"/>
              </w:rPr>
            </w:pPr>
          </w:p>
        </w:tc>
        <w:tc>
          <w:tcPr>
            <w:tcW w:w="4252" w:type="dxa"/>
            <w:vAlign w:val="center"/>
          </w:tcPr>
          <w:p>
            <w:pPr>
              <w:pStyle w:val="8"/>
              <w:keepNext/>
              <w:spacing w:after="0" w:line="360" w:lineRule="auto"/>
              <w:ind w:right="72" w:firstLine="0" w:firstLineChars="0"/>
              <w:rPr>
                <w:rFonts w:eastAsia="宋体"/>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96" w:type="dxa"/>
            <w:tcBorders>
              <w:top w:val="single" w:color="auto" w:sz="6" w:space="0"/>
              <w:bottom w:val="single" w:color="auto" w:sz="6" w:space="0"/>
            </w:tcBorders>
            <w:vAlign w:val="center"/>
          </w:tcPr>
          <w:p>
            <w:pPr>
              <w:pStyle w:val="8"/>
              <w:keepNext/>
              <w:spacing w:after="0" w:line="360" w:lineRule="auto"/>
              <w:ind w:right="72" w:firstLine="0" w:firstLineChars="0"/>
              <w:rPr>
                <w:rFonts w:eastAsia="宋体"/>
                <w:color w:val="000000"/>
                <w:szCs w:val="24"/>
              </w:rPr>
            </w:pPr>
            <w:r>
              <w:rPr>
                <w:rFonts w:eastAsia="宋体"/>
                <w:color w:val="000000"/>
                <w:szCs w:val="24"/>
              </w:rPr>
              <w:t>项目副经理</w:t>
            </w:r>
          </w:p>
        </w:tc>
        <w:tc>
          <w:tcPr>
            <w:tcW w:w="1134" w:type="dxa"/>
            <w:vAlign w:val="center"/>
          </w:tcPr>
          <w:p>
            <w:pPr>
              <w:pStyle w:val="8"/>
              <w:keepNext/>
              <w:spacing w:after="0" w:line="360" w:lineRule="auto"/>
              <w:ind w:right="72" w:firstLine="0" w:firstLineChars="0"/>
              <w:rPr>
                <w:rFonts w:eastAsia="宋体"/>
                <w:color w:val="000000"/>
                <w:szCs w:val="24"/>
              </w:rPr>
            </w:pPr>
          </w:p>
        </w:tc>
        <w:tc>
          <w:tcPr>
            <w:tcW w:w="1093" w:type="dxa"/>
            <w:vAlign w:val="center"/>
          </w:tcPr>
          <w:p>
            <w:pPr>
              <w:pStyle w:val="8"/>
              <w:keepNext/>
              <w:spacing w:after="0" w:line="360" w:lineRule="auto"/>
              <w:ind w:right="72" w:firstLine="0" w:firstLineChars="0"/>
              <w:rPr>
                <w:rFonts w:eastAsia="宋体"/>
                <w:color w:val="000000"/>
                <w:szCs w:val="24"/>
              </w:rPr>
            </w:pPr>
          </w:p>
        </w:tc>
        <w:tc>
          <w:tcPr>
            <w:tcW w:w="1134" w:type="dxa"/>
            <w:vAlign w:val="center"/>
          </w:tcPr>
          <w:p>
            <w:pPr>
              <w:pStyle w:val="8"/>
              <w:keepNext/>
              <w:spacing w:after="0" w:line="360" w:lineRule="auto"/>
              <w:ind w:right="72" w:firstLine="0" w:firstLineChars="0"/>
              <w:rPr>
                <w:rFonts w:eastAsia="宋体"/>
                <w:color w:val="000000"/>
                <w:szCs w:val="24"/>
              </w:rPr>
            </w:pPr>
          </w:p>
        </w:tc>
        <w:tc>
          <w:tcPr>
            <w:tcW w:w="4252" w:type="dxa"/>
            <w:vAlign w:val="center"/>
          </w:tcPr>
          <w:p>
            <w:pPr>
              <w:pStyle w:val="8"/>
              <w:keepNext/>
              <w:spacing w:after="0" w:line="360" w:lineRule="auto"/>
              <w:ind w:right="72" w:firstLine="0" w:firstLineChars="0"/>
              <w:rPr>
                <w:rFonts w:eastAsia="宋体"/>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96" w:type="dxa"/>
            <w:tcBorders>
              <w:top w:val="single" w:color="auto" w:sz="6" w:space="0"/>
              <w:bottom w:val="single" w:color="auto" w:sz="6" w:space="0"/>
            </w:tcBorders>
            <w:vAlign w:val="center"/>
          </w:tcPr>
          <w:p>
            <w:pPr>
              <w:pStyle w:val="8"/>
              <w:keepNext/>
              <w:spacing w:after="0" w:line="360" w:lineRule="auto"/>
              <w:ind w:right="72" w:firstLine="0" w:firstLineChars="0"/>
              <w:rPr>
                <w:rFonts w:eastAsia="宋体"/>
                <w:color w:val="000000"/>
                <w:szCs w:val="24"/>
              </w:rPr>
            </w:pPr>
            <w:r>
              <w:rPr>
                <w:rFonts w:eastAsia="宋体"/>
                <w:color w:val="000000"/>
                <w:szCs w:val="24"/>
              </w:rPr>
              <w:t>技术负责人</w:t>
            </w:r>
          </w:p>
        </w:tc>
        <w:tc>
          <w:tcPr>
            <w:tcW w:w="1134" w:type="dxa"/>
            <w:vAlign w:val="center"/>
          </w:tcPr>
          <w:p>
            <w:pPr>
              <w:pStyle w:val="8"/>
              <w:keepNext/>
              <w:spacing w:after="0" w:line="360" w:lineRule="auto"/>
              <w:ind w:right="72" w:firstLine="0" w:firstLineChars="0"/>
              <w:rPr>
                <w:rFonts w:eastAsia="宋体"/>
                <w:color w:val="000000"/>
                <w:szCs w:val="24"/>
              </w:rPr>
            </w:pPr>
          </w:p>
        </w:tc>
        <w:tc>
          <w:tcPr>
            <w:tcW w:w="1093" w:type="dxa"/>
            <w:vAlign w:val="center"/>
          </w:tcPr>
          <w:p>
            <w:pPr>
              <w:pStyle w:val="8"/>
              <w:keepNext/>
              <w:spacing w:after="0" w:line="360" w:lineRule="auto"/>
              <w:ind w:right="72" w:firstLine="0" w:firstLineChars="0"/>
              <w:rPr>
                <w:rFonts w:eastAsia="宋体"/>
                <w:color w:val="000000"/>
                <w:szCs w:val="24"/>
              </w:rPr>
            </w:pPr>
          </w:p>
        </w:tc>
        <w:tc>
          <w:tcPr>
            <w:tcW w:w="1134" w:type="dxa"/>
            <w:vAlign w:val="center"/>
          </w:tcPr>
          <w:p>
            <w:pPr>
              <w:pStyle w:val="8"/>
              <w:keepNext/>
              <w:spacing w:after="0" w:line="360" w:lineRule="auto"/>
              <w:ind w:right="72" w:firstLine="0" w:firstLineChars="0"/>
              <w:rPr>
                <w:rFonts w:eastAsia="宋体"/>
                <w:color w:val="000000"/>
                <w:szCs w:val="24"/>
              </w:rPr>
            </w:pPr>
          </w:p>
        </w:tc>
        <w:tc>
          <w:tcPr>
            <w:tcW w:w="4252" w:type="dxa"/>
            <w:vAlign w:val="center"/>
          </w:tcPr>
          <w:p>
            <w:pPr>
              <w:pStyle w:val="8"/>
              <w:keepNext/>
              <w:spacing w:after="0" w:line="360" w:lineRule="auto"/>
              <w:ind w:right="72" w:firstLine="0" w:firstLineChars="0"/>
              <w:rPr>
                <w:rFonts w:eastAsia="宋体"/>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96" w:type="dxa"/>
            <w:tcBorders>
              <w:top w:val="single" w:color="auto" w:sz="6" w:space="0"/>
              <w:bottom w:val="single" w:color="auto" w:sz="6" w:space="0"/>
            </w:tcBorders>
            <w:vAlign w:val="center"/>
          </w:tcPr>
          <w:p>
            <w:pPr>
              <w:pStyle w:val="8"/>
              <w:keepNext/>
              <w:spacing w:after="0" w:line="360" w:lineRule="auto"/>
              <w:ind w:right="72" w:firstLine="0" w:firstLineChars="0"/>
              <w:rPr>
                <w:rFonts w:eastAsia="宋体"/>
                <w:b/>
                <w:i/>
                <w:color w:val="000000"/>
                <w:szCs w:val="24"/>
                <w:u w:val="single"/>
              </w:rPr>
            </w:pPr>
            <w:r>
              <w:rPr>
                <w:rFonts w:eastAsia="宋体"/>
                <w:b/>
                <w:i/>
                <w:color w:val="000000"/>
                <w:szCs w:val="24"/>
                <w:u w:val="single"/>
              </w:rPr>
              <w:t>BIM管理</w:t>
            </w:r>
          </w:p>
        </w:tc>
        <w:tc>
          <w:tcPr>
            <w:tcW w:w="1134" w:type="dxa"/>
            <w:vAlign w:val="center"/>
          </w:tcPr>
          <w:p>
            <w:pPr>
              <w:pStyle w:val="8"/>
              <w:keepNext/>
              <w:spacing w:after="0" w:line="360" w:lineRule="auto"/>
              <w:ind w:right="72" w:firstLine="0" w:firstLineChars="0"/>
              <w:rPr>
                <w:rFonts w:eastAsia="宋体"/>
                <w:color w:val="000000"/>
                <w:szCs w:val="24"/>
              </w:rPr>
            </w:pPr>
          </w:p>
        </w:tc>
        <w:tc>
          <w:tcPr>
            <w:tcW w:w="1093" w:type="dxa"/>
            <w:vAlign w:val="center"/>
          </w:tcPr>
          <w:p>
            <w:pPr>
              <w:pStyle w:val="8"/>
              <w:keepNext/>
              <w:spacing w:after="0" w:line="360" w:lineRule="auto"/>
              <w:ind w:right="72" w:firstLine="0" w:firstLineChars="0"/>
              <w:rPr>
                <w:rFonts w:eastAsia="宋体"/>
                <w:color w:val="000000"/>
                <w:szCs w:val="24"/>
              </w:rPr>
            </w:pPr>
          </w:p>
        </w:tc>
        <w:tc>
          <w:tcPr>
            <w:tcW w:w="1134" w:type="dxa"/>
            <w:vAlign w:val="center"/>
          </w:tcPr>
          <w:p>
            <w:pPr>
              <w:pStyle w:val="8"/>
              <w:keepNext/>
              <w:spacing w:after="0" w:line="360" w:lineRule="auto"/>
              <w:ind w:right="72" w:firstLine="0" w:firstLineChars="0"/>
              <w:rPr>
                <w:rFonts w:eastAsia="宋体"/>
                <w:color w:val="000000"/>
                <w:szCs w:val="24"/>
              </w:rPr>
            </w:pPr>
          </w:p>
        </w:tc>
        <w:tc>
          <w:tcPr>
            <w:tcW w:w="4252" w:type="dxa"/>
            <w:vAlign w:val="center"/>
          </w:tcPr>
          <w:p>
            <w:pPr>
              <w:pStyle w:val="8"/>
              <w:keepNext/>
              <w:spacing w:after="0" w:line="360" w:lineRule="auto"/>
              <w:ind w:right="72" w:firstLine="0" w:firstLineChars="0"/>
              <w:rPr>
                <w:rFonts w:eastAsia="宋体"/>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96" w:type="dxa"/>
            <w:tcBorders>
              <w:top w:val="single" w:color="auto" w:sz="6" w:space="0"/>
              <w:bottom w:val="single" w:color="auto" w:sz="6" w:space="0"/>
            </w:tcBorders>
            <w:vAlign w:val="center"/>
          </w:tcPr>
          <w:p>
            <w:pPr>
              <w:pStyle w:val="8"/>
              <w:keepNext/>
              <w:spacing w:after="0" w:line="360" w:lineRule="auto"/>
              <w:ind w:right="72" w:firstLine="0" w:firstLineChars="0"/>
              <w:rPr>
                <w:rFonts w:eastAsia="宋体"/>
                <w:color w:val="000000"/>
                <w:szCs w:val="24"/>
              </w:rPr>
            </w:pPr>
            <w:r>
              <w:rPr>
                <w:rFonts w:eastAsia="宋体"/>
                <w:color w:val="000000"/>
                <w:szCs w:val="24"/>
              </w:rPr>
              <w:t>造价管理</w:t>
            </w:r>
          </w:p>
        </w:tc>
        <w:tc>
          <w:tcPr>
            <w:tcW w:w="1134" w:type="dxa"/>
            <w:vAlign w:val="center"/>
          </w:tcPr>
          <w:p>
            <w:pPr>
              <w:pStyle w:val="8"/>
              <w:keepNext/>
              <w:spacing w:after="0" w:line="360" w:lineRule="auto"/>
              <w:ind w:right="72" w:firstLine="0" w:firstLineChars="0"/>
              <w:rPr>
                <w:rFonts w:eastAsia="宋体"/>
                <w:color w:val="000000"/>
                <w:szCs w:val="24"/>
              </w:rPr>
            </w:pPr>
          </w:p>
        </w:tc>
        <w:tc>
          <w:tcPr>
            <w:tcW w:w="1093" w:type="dxa"/>
            <w:vAlign w:val="center"/>
          </w:tcPr>
          <w:p>
            <w:pPr>
              <w:pStyle w:val="8"/>
              <w:keepNext/>
              <w:spacing w:after="0" w:line="360" w:lineRule="auto"/>
              <w:ind w:right="72" w:firstLine="0" w:firstLineChars="0"/>
              <w:rPr>
                <w:rFonts w:eastAsia="宋体"/>
                <w:color w:val="000000"/>
                <w:szCs w:val="24"/>
              </w:rPr>
            </w:pPr>
          </w:p>
        </w:tc>
        <w:tc>
          <w:tcPr>
            <w:tcW w:w="1134" w:type="dxa"/>
            <w:vAlign w:val="center"/>
          </w:tcPr>
          <w:p>
            <w:pPr>
              <w:pStyle w:val="8"/>
              <w:keepNext/>
              <w:spacing w:after="0" w:line="360" w:lineRule="auto"/>
              <w:ind w:right="72" w:firstLine="0" w:firstLineChars="0"/>
              <w:rPr>
                <w:rFonts w:eastAsia="宋体"/>
                <w:color w:val="000000"/>
                <w:szCs w:val="24"/>
              </w:rPr>
            </w:pPr>
          </w:p>
        </w:tc>
        <w:tc>
          <w:tcPr>
            <w:tcW w:w="4252" w:type="dxa"/>
            <w:vAlign w:val="center"/>
          </w:tcPr>
          <w:p>
            <w:pPr>
              <w:pStyle w:val="8"/>
              <w:keepNext/>
              <w:spacing w:after="0" w:line="360" w:lineRule="auto"/>
              <w:ind w:right="72" w:firstLine="0" w:firstLineChars="0"/>
              <w:rPr>
                <w:rFonts w:eastAsia="宋体"/>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96" w:type="dxa"/>
            <w:tcBorders>
              <w:top w:val="single" w:color="auto" w:sz="6" w:space="0"/>
              <w:bottom w:val="single" w:color="auto" w:sz="6" w:space="0"/>
            </w:tcBorders>
            <w:vAlign w:val="center"/>
          </w:tcPr>
          <w:p>
            <w:pPr>
              <w:pStyle w:val="8"/>
              <w:keepNext/>
              <w:spacing w:after="0" w:line="360" w:lineRule="auto"/>
              <w:ind w:right="72" w:firstLine="0" w:firstLineChars="0"/>
              <w:rPr>
                <w:rFonts w:eastAsia="宋体"/>
                <w:color w:val="000000"/>
                <w:szCs w:val="24"/>
              </w:rPr>
            </w:pPr>
            <w:r>
              <w:rPr>
                <w:rFonts w:eastAsia="宋体"/>
                <w:color w:val="000000"/>
                <w:szCs w:val="24"/>
              </w:rPr>
              <w:t>质量管理</w:t>
            </w:r>
          </w:p>
        </w:tc>
        <w:tc>
          <w:tcPr>
            <w:tcW w:w="1134" w:type="dxa"/>
            <w:vAlign w:val="center"/>
          </w:tcPr>
          <w:p>
            <w:pPr>
              <w:pStyle w:val="8"/>
              <w:keepNext/>
              <w:spacing w:after="0" w:line="360" w:lineRule="auto"/>
              <w:ind w:right="72" w:firstLine="0" w:firstLineChars="0"/>
              <w:rPr>
                <w:rFonts w:eastAsia="宋体"/>
                <w:color w:val="000000"/>
                <w:szCs w:val="24"/>
              </w:rPr>
            </w:pPr>
          </w:p>
        </w:tc>
        <w:tc>
          <w:tcPr>
            <w:tcW w:w="1093" w:type="dxa"/>
            <w:vAlign w:val="center"/>
          </w:tcPr>
          <w:p>
            <w:pPr>
              <w:pStyle w:val="8"/>
              <w:keepNext/>
              <w:spacing w:after="0" w:line="360" w:lineRule="auto"/>
              <w:ind w:right="72" w:firstLine="0" w:firstLineChars="0"/>
              <w:rPr>
                <w:rFonts w:eastAsia="宋体"/>
                <w:color w:val="000000"/>
                <w:szCs w:val="24"/>
              </w:rPr>
            </w:pPr>
          </w:p>
        </w:tc>
        <w:tc>
          <w:tcPr>
            <w:tcW w:w="1134" w:type="dxa"/>
            <w:vAlign w:val="center"/>
          </w:tcPr>
          <w:p>
            <w:pPr>
              <w:pStyle w:val="8"/>
              <w:keepNext/>
              <w:spacing w:after="0" w:line="360" w:lineRule="auto"/>
              <w:ind w:right="72" w:firstLine="0" w:firstLineChars="0"/>
              <w:rPr>
                <w:rFonts w:eastAsia="宋体"/>
                <w:color w:val="000000"/>
                <w:szCs w:val="24"/>
              </w:rPr>
            </w:pPr>
          </w:p>
        </w:tc>
        <w:tc>
          <w:tcPr>
            <w:tcW w:w="4252" w:type="dxa"/>
            <w:vAlign w:val="center"/>
          </w:tcPr>
          <w:p>
            <w:pPr>
              <w:ind w:firstLine="0" w:firstLineChars="0"/>
              <w:jc w:val="center"/>
              <w:rPr>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96" w:type="dxa"/>
            <w:tcBorders>
              <w:top w:val="single" w:color="auto" w:sz="6" w:space="0"/>
              <w:bottom w:val="single" w:color="auto" w:sz="6" w:space="0"/>
            </w:tcBorders>
            <w:vAlign w:val="center"/>
          </w:tcPr>
          <w:p>
            <w:pPr>
              <w:pStyle w:val="8"/>
              <w:keepNext/>
              <w:spacing w:after="0" w:line="360" w:lineRule="auto"/>
              <w:ind w:right="72" w:firstLine="0" w:firstLineChars="0"/>
              <w:rPr>
                <w:rFonts w:eastAsia="宋体"/>
                <w:color w:val="000000"/>
                <w:szCs w:val="24"/>
              </w:rPr>
            </w:pPr>
            <w:r>
              <w:rPr>
                <w:rFonts w:eastAsia="宋体"/>
                <w:color w:val="000000"/>
                <w:szCs w:val="24"/>
              </w:rPr>
              <w:t>材料管理</w:t>
            </w:r>
          </w:p>
        </w:tc>
        <w:tc>
          <w:tcPr>
            <w:tcW w:w="1134" w:type="dxa"/>
            <w:vAlign w:val="center"/>
          </w:tcPr>
          <w:p>
            <w:pPr>
              <w:pStyle w:val="8"/>
              <w:keepNext/>
              <w:spacing w:after="0" w:line="360" w:lineRule="auto"/>
              <w:ind w:right="72" w:firstLine="0" w:firstLineChars="0"/>
              <w:rPr>
                <w:rFonts w:eastAsia="宋体"/>
                <w:color w:val="000000"/>
                <w:szCs w:val="24"/>
              </w:rPr>
            </w:pPr>
          </w:p>
        </w:tc>
        <w:tc>
          <w:tcPr>
            <w:tcW w:w="1093" w:type="dxa"/>
            <w:vAlign w:val="center"/>
          </w:tcPr>
          <w:p>
            <w:pPr>
              <w:pStyle w:val="8"/>
              <w:keepNext/>
              <w:spacing w:after="0" w:line="360" w:lineRule="auto"/>
              <w:ind w:right="72" w:firstLine="0" w:firstLineChars="0"/>
              <w:rPr>
                <w:rFonts w:eastAsia="宋体"/>
                <w:color w:val="000000"/>
                <w:szCs w:val="24"/>
              </w:rPr>
            </w:pPr>
          </w:p>
        </w:tc>
        <w:tc>
          <w:tcPr>
            <w:tcW w:w="1134" w:type="dxa"/>
            <w:vAlign w:val="center"/>
          </w:tcPr>
          <w:p>
            <w:pPr>
              <w:pStyle w:val="8"/>
              <w:keepNext/>
              <w:spacing w:after="0" w:line="360" w:lineRule="auto"/>
              <w:ind w:right="72" w:firstLine="0" w:firstLineChars="0"/>
              <w:rPr>
                <w:rFonts w:eastAsia="宋体"/>
                <w:color w:val="000000"/>
                <w:szCs w:val="24"/>
              </w:rPr>
            </w:pPr>
          </w:p>
        </w:tc>
        <w:tc>
          <w:tcPr>
            <w:tcW w:w="4252" w:type="dxa"/>
            <w:vAlign w:val="center"/>
          </w:tcPr>
          <w:p>
            <w:pPr>
              <w:ind w:firstLine="0" w:firstLineChars="0"/>
              <w:jc w:val="center"/>
              <w:rPr>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96" w:type="dxa"/>
            <w:tcBorders>
              <w:top w:val="single" w:color="auto" w:sz="6" w:space="0"/>
              <w:bottom w:val="single" w:color="auto" w:sz="6" w:space="0"/>
            </w:tcBorders>
            <w:vAlign w:val="center"/>
          </w:tcPr>
          <w:p>
            <w:pPr>
              <w:pStyle w:val="8"/>
              <w:keepNext/>
              <w:spacing w:after="0" w:line="360" w:lineRule="auto"/>
              <w:ind w:right="72" w:firstLine="0" w:firstLineChars="0"/>
              <w:rPr>
                <w:rFonts w:eastAsia="宋体"/>
                <w:color w:val="000000"/>
                <w:szCs w:val="24"/>
              </w:rPr>
            </w:pPr>
            <w:r>
              <w:rPr>
                <w:rFonts w:eastAsia="宋体"/>
                <w:color w:val="000000"/>
                <w:szCs w:val="24"/>
              </w:rPr>
              <w:t>计划管理</w:t>
            </w:r>
          </w:p>
        </w:tc>
        <w:tc>
          <w:tcPr>
            <w:tcW w:w="1134" w:type="dxa"/>
            <w:vAlign w:val="center"/>
          </w:tcPr>
          <w:p>
            <w:pPr>
              <w:pStyle w:val="8"/>
              <w:keepNext/>
              <w:spacing w:after="0" w:line="360" w:lineRule="auto"/>
              <w:ind w:right="72" w:firstLine="0" w:firstLineChars="0"/>
              <w:rPr>
                <w:rFonts w:eastAsia="宋体"/>
                <w:color w:val="000000"/>
                <w:szCs w:val="24"/>
              </w:rPr>
            </w:pPr>
          </w:p>
        </w:tc>
        <w:tc>
          <w:tcPr>
            <w:tcW w:w="1093" w:type="dxa"/>
            <w:vAlign w:val="center"/>
          </w:tcPr>
          <w:p>
            <w:pPr>
              <w:pStyle w:val="8"/>
              <w:keepNext/>
              <w:spacing w:after="0" w:line="360" w:lineRule="auto"/>
              <w:ind w:right="72" w:firstLine="0" w:firstLineChars="0"/>
              <w:rPr>
                <w:rFonts w:eastAsia="宋体"/>
                <w:color w:val="000000"/>
                <w:szCs w:val="24"/>
              </w:rPr>
            </w:pPr>
          </w:p>
        </w:tc>
        <w:tc>
          <w:tcPr>
            <w:tcW w:w="1134" w:type="dxa"/>
            <w:vAlign w:val="center"/>
          </w:tcPr>
          <w:p>
            <w:pPr>
              <w:pStyle w:val="8"/>
              <w:keepNext/>
              <w:spacing w:after="0" w:line="360" w:lineRule="auto"/>
              <w:ind w:right="72" w:firstLine="0" w:firstLineChars="0"/>
              <w:rPr>
                <w:rFonts w:eastAsia="宋体"/>
                <w:color w:val="000000"/>
                <w:szCs w:val="24"/>
              </w:rPr>
            </w:pPr>
          </w:p>
        </w:tc>
        <w:tc>
          <w:tcPr>
            <w:tcW w:w="4252" w:type="dxa"/>
            <w:vAlign w:val="center"/>
          </w:tcPr>
          <w:p>
            <w:pPr>
              <w:ind w:firstLine="0" w:firstLineChars="0"/>
              <w:jc w:val="center"/>
              <w:rPr>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96" w:type="dxa"/>
            <w:tcBorders>
              <w:top w:val="single" w:color="auto" w:sz="6" w:space="0"/>
              <w:bottom w:val="single" w:color="auto" w:sz="6" w:space="0"/>
            </w:tcBorders>
            <w:vAlign w:val="center"/>
          </w:tcPr>
          <w:p>
            <w:pPr>
              <w:pStyle w:val="8"/>
              <w:keepNext/>
              <w:spacing w:after="0" w:line="360" w:lineRule="auto"/>
              <w:ind w:right="72" w:firstLine="0" w:firstLineChars="0"/>
              <w:rPr>
                <w:rFonts w:eastAsia="宋体"/>
                <w:color w:val="000000"/>
                <w:szCs w:val="24"/>
              </w:rPr>
            </w:pPr>
            <w:r>
              <w:rPr>
                <w:rFonts w:eastAsia="宋体"/>
                <w:color w:val="000000"/>
                <w:szCs w:val="24"/>
              </w:rPr>
              <w:t>安全管理</w:t>
            </w:r>
          </w:p>
        </w:tc>
        <w:tc>
          <w:tcPr>
            <w:tcW w:w="1134" w:type="dxa"/>
            <w:vAlign w:val="center"/>
          </w:tcPr>
          <w:p>
            <w:pPr>
              <w:pStyle w:val="8"/>
              <w:keepNext/>
              <w:spacing w:after="0" w:line="360" w:lineRule="auto"/>
              <w:ind w:right="72" w:firstLine="0" w:firstLineChars="0"/>
              <w:rPr>
                <w:rFonts w:eastAsia="宋体"/>
                <w:color w:val="000000"/>
                <w:szCs w:val="24"/>
              </w:rPr>
            </w:pPr>
          </w:p>
        </w:tc>
        <w:tc>
          <w:tcPr>
            <w:tcW w:w="1093" w:type="dxa"/>
            <w:vAlign w:val="center"/>
          </w:tcPr>
          <w:p>
            <w:pPr>
              <w:pStyle w:val="8"/>
              <w:keepNext/>
              <w:spacing w:after="0" w:line="360" w:lineRule="auto"/>
              <w:ind w:right="72" w:firstLine="0" w:firstLineChars="0"/>
              <w:rPr>
                <w:rFonts w:eastAsia="宋体"/>
                <w:color w:val="000000"/>
                <w:szCs w:val="24"/>
              </w:rPr>
            </w:pPr>
          </w:p>
        </w:tc>
        <w:tc>
          <w:tcPr>
            <w:tcW w:w="1134" w:type="dxa"/>
            <w:vAlign w:val="center"/>
          </w:tcPr>
          <w:p>
            <w:pPr>
              <w:pStyle w:val="8"/>
              <w:keepNext/>
              <w:spacing w:after="0" w:line="360" w:lineRule="auto"/>
              <w:ind w:right="72" w:firstLine="0" w:firstLineChars="0"/>
              <w:rPr>
                <w:rFonts w:eastAsia="宋体"/>
                <w:color w:val="000000"/>
                <w:szCs w:val="24"/>
              </w:rPr>
            </w:pPr>
          </w:p>
        </w:tc>
        <w:tc>
          <w:tcPr>
            <w:tcW w:w="4252" w:type="dxa"/>
            <w:vAlign w:val="center"/>
          </w:tcPr>
          <w:p>
            <w:pPr>
              <w:ind w:firstLine="0" w:firstLineChars="0"/>
              <w:jc w:val="center"/>
              <w:rPr>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96" w:type="dxa"/>
            <w:vMerge w:val="restart"/>
            <w:tcBorders>
              <w:top w:val="single" w:color="auto" w:sz="6" w:space="0"/>
            </w:tcBorders>
            <w:vAlign w:val="center"/>
          </w:tcPr>
          <w:p>
            <w:pPr>
              <w:pStyle w:val="8"/>
              <w:keepNext/>
              <w:spacing w:after="0" w:line="360" w:lineRule="auto"/>
              <w:ind w:right="72" w:firstLine="0" w:firstLineChars="0"/>
              <w:rPr>
                <w:rFonts w:eastAsia="宋体"/>
                <w:color w:val="000000"/>
                <w:szCs w:val="24"/>
              </w:rPr>
            </w:pPr>
            <w:r>
              <w:rPr>
                <w:rFonts w:eastAsia="宋体"/>
                <w:color w:val="000000"/>
                <w:szCs w:val="24"/>
              </w:rPr>
              <w:t>其他人员</w:t>
            </w:r>
          </w:p>
        </w:tc>
        <w:tc>
          <w:tcPr>
            <w:tcW w:w="1134" w:type="dxa"/>
            <w:vAlign w:val="center"/>
          </w:tcPr>
          <w:p>
            <w:pPr>
              <w:pStyle w:val="8"/>
              <w:keepNext/>
              <w:spacing w:after="0" w:line="360" w:lineRule="auto"/>
              <w:ind w:right="72" w:firstLine="0" w:firstLineChars="0"/>
              <w:rPr>
                <w:rFonts w:eastAsia="宋体"/>
                <w:color w:val="000000"/>
                <w:szCs w:val="24"/>
              </w:rPr>
            </w:pPr>
          </w:p>
        </w:tc>
        <w:tc>
          <w:tcPr>
            <w:tcW w:w="1093" w:type="dxa"/>
            <w:vAlign w:val="center"/>
          </w:tcPr>
          <w:p>
            <w:pPr>
              <w:pStyle w:val="8"/>
              <w:keepNext/>
              <w:spacing w:after="0" w:line="360" w:lineRule="auto"/>
              <w:ind w:right="72" w:firstLine="0" w:firstLineChars="0"/>
              <w:rPr>
                <w:rFonts w:eastAsia="宋体"/>
                <w:color w:val="000000"/>
                <w:szCs w:val="24"/>
              </w:rPr>
            </w:pPr>
          </w:p>
        </w:tc>
        <w:tc>
          <w:tcPr>
            <w:tcW w:w="1134" w:type="dxa"/>
            <w:vAlign w:val="center"/>
          </w:tcPr>
          <w:p>
            <w:pPr>
              <w:pStyle w:val="8"/>
              <w:keepNext/>
              <w:spacing w:after="0" w:line="360" w:lineRule="auto"/>
              <w:ind w:right="72" w:firstLine="0" w:firstLineChars="0"/>
              <w:rPr>
                <w:rFonts w:eastAsia="宋体"/>
                <w:color w:val="000000"/>
                <w:szCs w:val="24"/>
              </w:rPr>
            </w:pPr>
          </w:p>
        </w:tc>
        <w:tc>
          <w:tcPr>
            <w:tcW w:w="4252" w:type="dxa"/>
            <w:vAlign w:val="center"/>
          </w:tcPr>
          <w:p>
            <w:pPr>
              <w:pStyle w:val="8"/>
              <w:keepNext/>
              <w:spacing w:after="0" w:line="360" w:lineRule="auto"/>
              <w:ind w:right="72" w:firstLine="0" w:firstLineChars="0"/>
              <w:rPr>
                <w:rFonts w:eastAsia="宋体"/>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96" w:type="dxa"/>
            <w:vMerge w:val="continue"/>
            <w:vAlign w:val="center"/>
          </w:tcPr>
          <w:p>
            <w:pPr>
              <w:pStyle w:val="8"/>
              <w:keepNext/>
              <w:spacing w:after="0" w:line="360" w:lineRule="auto"/>
              <w:ind w:right="72" w:firstLine="0" w:firstLineChars="0"/>
              <w:rPr>
                <w:rFonts w:eastAsia="宋体"/>
                <w:color w:val="000000"/>
                <w:szCs w:val="24"/>
              </w:rPr>
            </w:pPr>
          </w:p>
        </w:tc>
        <w:tc>
          <w:tcPr>
            <w:tcW w:w="1134" w:type="dxa"/>
            <w:tcBorders>
              <w:bottom w:val="nil"/>
            </w:tcBorders>
            <w:vAlign w:val="center"/>
          </w:tcPr>
          <w:p>
            <w:pPr>
              <w:pStyle w:val="8"/>
              <w:keepNext/>
              <w:spacing w:after="0" w:line="360" w:lineRule="auto"/>
              <w:ind w:right="72" w:firstLine="0" w:firstLineChars="0"/>
              <w:rPr>
                <w:rFonts w:eastAsia="宋体"/>
                <w:color w:val="000000"/>
                <w:szCs w:val="24"/>
              </w:rPr>
            </w:pPr>
          </w:p>
        </w:tc>
        <w:tc>
          <w:tcPr>
            <w:tcW w:w="1093" w:type="dxa"/>
            <w:tcBorders>
              <w:bottom w:val="nil"/>
            </w:tcBorders>
            <w:vAlign w:val="center"/>
          </w:tcPr>
          <w:p>
            <w:pPr>
              <w:pStyle w:val="8"/>
              <w:keepNext/>
              <w:spacing w:after="0" w:line="360" w:lineRule="auto"/>
              <w:ind w:right="72" w:firstLine="0" w:firstLineChars="0"/>
              <w:rPr>
                <w:rFonts w:eastAsia="宋体"/>
                <w:color w:val="000000"/>
                <w:szCs w:val="24"/>
              </w:rPr>
            </w:pPr>
          </w:p>
        </w:tc>
        <w:tc>
          <w:tcPr>
            <w:tcW w:w="1134" w:type="dxa"/>
            <w:tcBorders>
              <w:bottom w:val="nil"/>
            </w:tcBorders>
            <w:vAlign w:val="center"/>
          </w:tcPr>
          <w:p>
            <w:pPr>
              <w:pStyle w:val="8"/>
              <w:keepNext/>
              <w:spacing w:after="0" w:line="360" w:lineRule="auto"/>
              <w:ind w:right="72" w:firstLine="0" w:firstLineChars="0"/>
              <w:rPr>
                <w:rFonts w:eastAsia="宋体"/>
                <w:color w:val="000000"/>
                <w:szCs w:val="24"/>
              </w:rPr>
            </w:pPr>
          </w:p>
        </w:tc>
        <w:tc>
          <w:tcPr>
            <w:tcW w:w="4252" w:type="dxa"/>
            <w:tcBorders>
              <w:bottom w:val="nil"/>
            </w:tcBorders>
            <w:vAlign w:val="center"/>
          </w:tcPr>
          <w:p>
            <w:pPr>
              <w:pStyle w:val="8"/>
              <w:keepNext/>
              <w:spacing w:after="0" w:line="360" w:lineRule="auto"/>
              <w:ind w:right="72" w:firstLine="0" w:firstLineChars="0"/>
              <w:rPr>
                <w:rFonts w:eastAsia="宋体"/>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96" w:type="dxa"/>
            <w:vMerge w:val="continue"/>
            <w:vAlign w:val="center"/>
          </w:tcPr>
          <w:p>
            <w:pPr>
              <w:pStyle w:val="8"/>
              <w:keepNext/>
              <w:spacing w:after="0" w:line="360" w:lineRule="auto"/>
              <w:ind w:right="72" w:firstLine="0" w:firstLineChars="0"/>
              <w:rPr>
                <w:rFonts w:eastAsia="宋体"/>
                <w:color w:val="000000"/>
                <w:szCs w:val="24"/>
              </w:rPr>
            </w:pPr>
          </w:p>
        </w:tc>
        <w:tc>
          <w:tcPr>
            <w:tcW w:w="1134" w:type="dxa"/>
            <w:vAlign w:val="center"/>
          </w:tcPr>
          <w:p>
            <w:pPr>
              <w:pStyle w:val="8"/>
              <w:keepNext/>
              <w:spacing w:after="0" w:line="360" w:lineRule="auto"/>
              <w:ind w:right="72" w:firstLine="0" w:firstLineChars="0"/>
              <w:rPr>
                <w:rFonts w:eastAsia="宋体"/>
                <w:color w:val="000000"/>
                <w:szCs w:val="24"/>
              </w:rPr>
            </w:pPr>
          </w:p>
        </w:tc>
        <w:tc>
          <w:tcPr>
            <w:tcW w:w="1093" w:type="dxa"/>
            <w:vAlign w:val="center"/>
          </w:tcPr>
          <w:p>
            <w:pPr>
              <w:pStyle w:val="8"/>
              <w:keepNext/>
              <w:spacing w:after="0" w:line="360" w:lineRule="auto"/>
              <w:ind w:right="72" w:firstLine="0" w:firstLineChars="0"/>
              <w:rPr>
                <w:rFonts w:eastAsia="宋体"/>
                <w:color w:val="000000"/>
                <w:szCs w:val="24"/>
              </w:rPr>
            </w:pPr>
          </w:p>
        </w:tc>
        <w:tc>
          <w:tcPr>
            <w:tcW w:w="1134" w:type="dxa"/>
            <w:vAlign w:val="center"/>
          </w:tcPr>
          <w:p>
            <w:pPr>
              <w:pStyle w:val="8"/>
              <w:keepNext/>
              <w:spacing w:after="0" w:line="360" w:lineRule="auto"/>
              <w:ind w:right="72" w:firstLine="0" w:firstLineChars="0"/>
              <w:rPr>
                <w:rFonts w:eastAsia="宋体"/>
                <w:color w:val="000000"/>
                <w:szCs w:val="24"/>
              </w:rPr>
            </w:pPr>
          </w:p>
        </w:tc>
        <w:tc>
          <w:tcPr>
            <w:tcW w:w="4252" w:type="dxa"/>
            <w:vAlign w:val="center"/>
          </w:tcPr>
          <w:p>
            <w:pPr>
              <w:pStyle w:val="8"/>
              <w:keepNext/>
              <w:spacing w:after="0" w:line="360" w:lineRule="auto"/>
              <w:ind w:right="72" w:firstLine="0" w:firstLineChars="0"/>
              <w:rPr>
                <w:rFonts w:eastAsia="宋体"/>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96" w:type="dxa"/>
            <w:vMerge w:val="continue"/>
            <w:vAlign w:val="center"/>
          </w:tcPr>
          <w:p>
            <w:pPr>
              <w:pStyle w:val="8"/>
              <w:keepNext/>
              <w:spacing w:after="0" w:line="360" w:lineRule="auto"/>
              <w:ind w:right="72" w:firstLine="0" w:firstLineChars="0"/>
              <w:rPr>
                <w:rFonts w:eastAsia="宋体"/>
                <w:color w:val="000000"/>
                <w:szCs w:val="24"/>
              </w:rPr>
            </w:pPr>
          </w:p>
        </w:tc>
        <w:tc>
          <w:tcPr>
            <w:tcW w:w="1134" w:type="dxa"/>
            <w:vAlign w:val="center"/>
          </w:tcPr>
          <w:p>
            <w:pPr>
              <w:pStyle w:val="8"/>
              <w:keepNext/>
              <w:spacing w:after="0" w:line="360" w:lineRule="auto"/>
              <w:ind w:right="72" w:firstLine="0" w:firstLineChars="0"/>
              <w:rPr>
                <w:rFonts w:eastAsia="宋体"/>
                <w:color w:val="000000"/>
                <w:szCs w:val="24"/>
              </w:rPr>
            </w:pPr>
          </w:p>
        </w:tc>
        <w:tc>
          <w:tcPr>
            <w:tcW w:w="1093" w:type="dxa"/>
            <w:vAlign w:val="center"/>
          </w:tcPr>
          <w:p>
            <w:pPr>
              <w:pStyle w:val="8"/>
              <w:keepNext/>
              <w:spacing w:after="0" w:line="360" w:lineRule="auto"/>
              <w:ind w:right="72" w:firstLine="0" w:firstLineChars="0"/>
              <w:rPr>
                <w:rFonts w:eastAsia="宋体"/>
                <w:color w:val="000000"/>
                <w:szCs w:val="24"/>
              </w:rPr>
            </w:pPr>
          </w:p>
        </w:tc>
        <w:tc>
          <w:tcPr>
            <w:tcW w:w="1134" w:type="dxa"/>
            <w:vAlign w:val="center"/>
          </w:tcPr>
          <w:p>
            <w:pPr>
              <w:pStyle w:val="8"/>
              <w:keepNext/>
              <w:spacing w:after="0" w:line="360" w:lineRule="auto"/>
              <w:ind w:right="72" w:firstLine="0" w:firstLineChars="0"/>
              <w:rPr>
                <w:rFonts w:eastAsia="宋体"/>
                <w:color w:val="000000"/>
                <w:szCs w:val="24"/>
              </w:rPr>
            </w:pPr>
          </w:p>
        </w:tc>
        <w:tc>
          <w:tcPr>
            <w:tcW w:w="4252" w:type="dxa"/>
            <w:vAlign w:val="center"/>
          </w:tcPr>
          <w:p>
            <w:pPr>
              <w:pStyle w:val="8"/>
              <w:keepNext/>
              <w:spacing w:after="0" w:line="360" w:lineRule="auto"/>
              <w:ind w:right="72" w:firstLine="0" w:firstLineChars="0"/>
              <w:rPr>
                <w:rFonts w:eastAsia="宋体"/>
                <w:color w:val="000000"/>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196" w:type="dxa"/>
            <w:vMerge w:val="continue"/>
            <w:tcBorders>
              <w:bottom w:val="single" w:color="auto" w:sz="12" w:space="0"/>
            </w:tcBorders>
            <w:vAlign w:val="center"/>
          </w:tcPr>
          <w:p>
            <w:pPr>
              <w:pStyle w:val="8"/>
              <w:keepNext/>
              <w:spacing w:after="0" w:line="360" w:lineRule="auto"/>
              <w:ind w:right="72" w:firstLine="0" w:firstLineChars="0"/>
              <w:rPr>
                <w:rFonts w:eastAsia="宋体"/>
                <w:color w:val="000000"/>
                <w:szCs w:val="24"/>
              </w:rPr>
            </w:pPr>
          </w:p>
        </w:tc>
        <w:tc>
          <w:tcPr>
            <w:tcW w:w="1134" w:type="dxa"/>
            <w:tcBorders>
              <w:bottom w:val="single" w:color="auto" w:sz="12" w:space="0"/>
            </w:tcBorders>
            <w:vAlign w:val="center"/>
          </w:tcPr>
          <w:p>
            <w:pPr>
              <w:pStyle w:val="8"/>
              <w:keepNext/>
              <w:spacing w:after="0" w:line="360" w:lineRule="auto"/>
              <w:ind w:right="72" w:firstLine="0" w:firstLineChars="0"/>
              <w:rPr>
                <w:rFonts w:eastAsia="宋体"/>
                <w:color w:val="000000"/>
                <w:szCs w:val="24"/>
              </w:rPr>
            </w:pPr>
          </w:p>
        </w:tc>
        <w:tc>
          <w:tcPr>
            <w:tcW w:w="1093" w:type="dxa"/>
            <w:tcBorders>
              <w:bottom w:val="single" w:color="auto" w:sz="12" w:space="0"/>
            </w:tcBorders>
            <w:vAlign w:val="center"/>
          </w:tcPr>
          <w:p>
            <w:pPr>
              <w:pStyle w:val="8"/>
              <w:keepNext/>
              <w:spacing w:after="0" w:line="360" w:lineRule="auto"/>
              <w:ind w:right="72" w:firstLine="0" w:firstLineChars="0"/>
              <w:rPr>
                <w:rFonts w:eastAsia="宋体"/>
                <w:color w:val="000000"/>
                <w:szCs w:val="24"/>
              </w:rPr>
            </w:pPr>
          </w:p>
        </w:tc>
        <w:tc>
          <w:tcPr>
            <w:tcW w:w="1134" w:type="dxa"/>
            <w:tcBorders>
              <w:bottom w:val="single" w:color="auto" w:sz="12" w:space="0"/>
            </w:tcBorders>
            <w:vAlign w:val="center"/>
          </w:tcPr>
          <w:p>
            <w:pPr>
              <w:pStyle w:val="8"/>
              <w:keepNext/>
              <w:spacing w:after="0" w:line="360" w:lineRule="auto"/>
              <w:ind w:right="72" w:firstLine="0" w:firstLineChars="0"/>
              <w:rPr>
                <w:rFonts w:eastAsia="宋体"/>
                <w:color w:val="000000"/>
                <w:szCs w:val="24"/>
              </w:rPr>
            </w:pPr>
          </w:p>
        </w:tc>
        <w:tc>
          <w:tcPr>
            <w:tcW w:w="4252" w:type="dxa"/>
            <w:tcBorders>
              <w:bottom w:val="single" w:color="auto" w:sz="12" w:space="0"/>
            </w:tcBorders>
            <w:vAlign w:val="center"/>
          </w:tcPr>
          <w:p>
            <w:pPr>
              <w:pStyle w:val="8"/>
              <w:keepNext/>
              <w:spacing w:after="0" w:line="360" w:lineRule="auto"/>
              <w:ind w:right="72" w:firstLine="0" w:firstLineChars="0"/>
              <w:rPr>
                <w:rFonts w:eastAsia="宋体"/>
                <w:color w:val="000000"/>
                <w:szCs w:val="24"/>
              </w:rPr>
            </w:pPr>
          </w:p>
        </w:tc>
      </w:tr>
    </w:tbl>
    <w:p>
      <w:pPr>
        <w:ind w:firstLine="602"/>
        <w:jc w:val="center"/>
        <w:rPr>
          <w:rFonts w:eastAsia="黑体"/>
          <w:b/>
          <w:i/>
          <w:color w:val="000000"/>
          <w:sz w:val="30"/>
          <w:szCs w:val="30"/>
          <w:u w:val="single"/>
        </w:rPr>
      </w:pPr>
    </w:p>
    <w:p>
      <w:pPr>
        <w:pStyle w:val="2"/>
        <w:ind w:firstLine="0" w:firstLineChars="0"/>
        <w:jc w:val="left"/>
        <w:rPr>
          <w:i/>
          <w:u w:val="single"/>
        </w:rPr>
      </w:pPr>
      <w:r>
        <w:rPr>
          <w:rFonts w:hint="eastAsia"/>
          <w:i/>
          <w:u w:val="single"/>
        </w:rPr>
        <w:t>附录：</w:t>
      </w:r>
    </w:p>
    <w:p>
      <w:pPr>
        <w:ind w:firstLine="0" w:firstLineChars="0"/>
        <w:rPr>
          <w:rFonts w:eastAsia="黑体"/>
          <w:b/>
          <w:i/>
          <w:color w:val="000000"/>
          <w:szCs w:val="32"/>
          <w:u w:val="single"/>
        </w:rPr>
      </w:pPr>
      <w:r>
        <w:rPr>
          <w:rFonts w:hint="eastAsia"/>
          <w:b/>
          <w:i/>
          <w:szCs w:val="32"/>
          <w:u w:val="single"/>
        </w:rPr>
        <w:t>《上海市建设工程施工合同文件示范文本（含</w:t>
      </w:r>
      <w:r>
        <w:rPr>
          <w:b/>
          <w:i/>
          <w:szCs w:val="32"/>
          <w:u w:val="single"/>
        </w:rPr>
        <w:t>BIM</w:t>
      </w:r>
      <w:r>
        <w:rPr>
          <w:rFonts w:hint="eastAsia"/>
          <w:b/>
          <w:i/>
          <w:szCs w:val="32"/>
          <w:u w:val="single"/>
        </w:rPr>
        <w:t>技术服务）》（</w:t>
      </w:r>
      <w:r>
        <w:rPr>
          <w:b/>
          <w:i/>
          <w:szCs w:val="32"/>
          <w:u w:val="single"/>
        </w:rPr>
        <w:t>2017</w:t>
      </w:r>
      <w:r>
        <w:rPr>
          <w:rFonts w:hint="eastAsia"/>
          <w:b/>
          <w:i/>
          <w:szCs w:val="32"/>
          <w:u w:val="single"/>
        </w:rPr>
        <w:t>版）</w:t>
      </w:r>
    </w:p>
    <w:p>
      <w:pPr>
        <w:pStyle w:val="8"/>
        <w:keepNext/>
        <w:spacing w:after="0" w:line="360" w:lineRule="auto"/>
        <w:ind w:right="72" w:firstLine="480"/>
        <w:rPr>
          <w:rFonts w:eastAsia="仿宋_GB2312"/>
          <w:color w:val="000000"/>
          <w:szCs w:val="30"/>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5276513"/>
    </w:sdtPr>
    <w:sdtContent>
      <w:p>
        <w:pPr>
          <w:pStyle w:val="10"/>
          <w:ind w:firstLine="360"/>
          <w:jc w:val="center"/>
        </w:pPr>
        <w:r>
          <w:fldChar w:fldCharType="begin"/>
        </w:r>
        <w:r>
          <w:instrText xml:space="preserve">PAGE   \* MERGEFORMAT</w:instrText>
        </w:r>
        <w:r>
          <w:fldChar w:fldCharType="separate"/>
        </w:r>
        <w:r>
          <w:rPr>
            <w:lang w:val="zh-CN"/>
          </w:rPr>
          <w:t>13</w:t>
        </w:r>
        <w:r>
          <w:fldChar w:fldCharType="end"/>
        </w:r>
      </w:p>
    </w:sdtContent>
  </w:sdt>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4642460"/>
    </w:sdtPr>
    <w:sdtContent>
      <w:p>
        <w:pPr>
          <w:pStyle w:val="10"/>
          <w:ind w:firstLine="360"/>
          <w:jc w:val="center"/>
        </w:pPr>
        <w:r>
          <w:fldChar w:fldCharType="begin"/>
        </w:r>
        <w:r>
          <w:instrText xml:space="preserve">PAGE   \* MERGEFORMAT</w:instrText>
        </w:r>
        <w:r>
          <w:fldChar w:fldCharType="separate"/>
        </w:r>
        <w:r>
          <w:rPr>
            <w:lang w:val="zh-CN"/>
          </w:rPr>
          <w:t>11</w:t>
        </w:r>
        <w:r>
          <w:fldChar w:fldCharType="end"/>
        </w:r>
      </w:p>
    </w:sdtContent>
  </w:sdt>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163C"/>
    <w:multiLevelType w:val="multilevel"/>
    <w:tmpl w:val="0EC0163C"/>
    <w:lvl w:ilvl="0" w:tentative="0">
      <w:start w:val="1"/>
      <w:numFmt w:val="decimal"/>
      <w:lvlText w:val="%1."/>
      <w:lvlJc w:val="left"/>
      <w:pPr>
        <w:ind w:left="1200" w:hanging="360"/>
      </w:p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1">
    <w:nsid w:val="187501CA"/>
    <w:multiLevelType w:val="multilevel"/>
    <w:tmpl w:val="187501CA"/>
    <w:lvl w:ilvl="0" w:tentative="0">
      <w:start w:val="1"/>
      <w:numFmt w:val="decimal"/>
      <w:lvlText w:val="%1."/>
      <w:lvlJc w:val="left"/>
      <w:pPr>
        <w:ind w:left="1200" w:hanging="360"/>
      </w:p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2">
    <w:nsid w:val="19312E5D"/>
    <w:multiLevelType w:val="multilevel"/>
    <w:tmpl w:val="19312E5D"/>
    <w:lvl w:ilvl="0" w:tentative="0">
      <w:start w:val="1"/>
      <w:numFmt w:val="decimal"/>
      <w:lvlText w:val="%1."/>
      <w:lvlJc w:val="left"/>
      <w:pPr>
        <w:ind w:left="1200" w:hanging="360"/>
      </w:p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3">
    <w:nsid w:val="3E685A46"/>
    <w:multiLevelType w:val="multilevel"/>
    <w:tmpl w:val="3E685A46"/>
    <w:lvl w:ilvl="0" w:tentative="0">
      <w:start w:val="1"/>
      <w:numFmt w:val="decimal"/>
      <w:lvlText w:val="%1."/>
      <w:lvlJc w:val="left"/>
      <w:pPr>
        <w:ind w:left="1200" w:hanging="360"/>
      </w:p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17"/>
    <w:rsid w:val="00005E92"/>
    <w:rsid w:val="00017B8F"/>
    <w:rsid w:val="0002516C"/>
    <w:rsid w:val="00025866"/>
    <w:rsid w:val="00034ACB"/>
    <w:rsid w:val="000410DB"/>
    <w:rsid w:val="00041BC2"/>
    <w:rsid w:val="00070330"/>
    <w:rsid w:val="000D2736"/>
    <w:rsid w:val="000E7BD5"/>
    <w:rsid w:val="000F4D4D"/>
    <w:rsid w:val="00133241"/>
    <w:rsid w:val="00143BB8"/>
    <w:rsid w:val="00164856"/>
    <w:rsid w:val="00193282"/>
    <w:rsid w:val="001C0B0B"/>
    <w:rsid w:val="0021176C"/>
    <w:rsid w:val="00227734"/>
    <w:rsid w:val="00235659"/>
    <w:rsid w:val="00274CF5"/>
    <w:rsid w:val="002867FF"/>
    <w:rsid w:val="002B537D"/>
    <w:rsid w:val="002D4E9A"/>
    <w:rsid w:val="002D6945"/>
    <w:rsid w:val="00316A9E"/>
    <w:rsid w:val="003404C1"/>
    <w:rsid w:val="00341955"/>
    <w:rsid w:val="00351AD4"/>
    <w:rsid w:val="00384454"/>
    <w:rsid w:val="003A351A"/>
    <w:rsid w:val="003A6296"/>
    <w:rsid w:val="003C65B2"/>
    <w:rsid w:val="003D2E39"/>
    <w:rsid w:val="0043543C"/>
    <w:rsid w:val="00465577"/>
    <w:rsid w:val="00487AAD"/>
    <w:rsid w:val="004A12B8"/>
    <w:rsid w:val="004A475A"/>
    <w:rsid w:val="004C07DD"/>
    <w:rsid w:val="004C1117"/>
    <w:rsid w:val="004C576A"/>
    <w:rsid w:val="004F0851"/>
    <w:rsid w:val="004F10C0"/>
    <w:rsid w:val="004F32AD"/>
    <w:rsid w:val="005161B3"/>
    <w:rsid w:val="005457C5"/>
    <w:rsid w:val="00585B8C"/>
    <w:rsid w:val="005B0004"/>
    <w:rsid w:val="005C2553"/>
    <w:rsid w:val="0063150C"/>
    <w:rsid w:val="00637104"/>
    <w:rsid w:val="006406F4"/>
    <w:rsid w:val="0065390A"/>
    <w:rsid w:val="006557DC"/>
    <w:rsid w:val="00664D69"/>
    <w:rsid w:val="006C18CD"/>
    <w:rsid w:val="006C5C95"/>
    <w:rsid w:val="0071264C"/>
    <w:rsid w:val="00717110"/>
    <w:rsid w:val="00731515"/>
    <w:rsid w:val="00733D5B"/>
    <w:rsid w:val="00757D76"/>
    <w:rsid w:val="007673B2"/>
    <w:rsid w:val="0078203C"/>
    <w:rsid w:val="007867E5"/>
    <w:rsid w:val="007B5F22"/>
    <w:rsid w:val="007E3606"/>
    <w:rsid w:val="008045E0"/>
    <w:rsid w:val="0084244F"/>
    <w:rsid w:val="00887D98"/>
    <w:rsid w:val="0089054E"/>
    <w:rsid w:val="008B3176"/>
    <w:rsid w:val="008B3890"/>
    <w:rsid w:val="008C57F2"/>
    <w:rsid w:val="008D51AC"/>
    <w:rsid w:val="00920F1D"/>
    <w:rsid w:val="00981A3A"/>
    <w:rsid w:val="009B7265"/>
    <w:rsid w:val="009B757D"/>
    <w:rsid w:val="009C07AE"/>
    <w:rsid w:val="00A037E6"/>
    <w:rsid w:val="00A04866"/>
    <w:rsid w:val="00A24573"/>
    <w:rsid w:val="00A45AA1"/>
    <w:rsid w:val="00A4740C"/>
    <w:rsid w:val="00A55086"/>
    <w:rsid w:val="00A56DF7"/>
    <w:rsid w:val="00A9521B"/>
    <w:rsid w:val="00AA510A"/>
    <w:rsid w:val="00AB00E6"/>
    <w:rsid w:val="00AB257D"/>
    <w:rsid w:val="00B5433A"/>
    <w:rsid w:val="00B5645B"/>
    <w:rsid w:val="00B57D20"/>
    <w:rsid w:val="00B8032C"/>
    <w:rsid w:val="00BC5C73"/>
    <w:rsid w:val="00C04F3F"/>
    <w:rsid w:val="00C20041"/>
    <w:rsid w:val="00C41378"/>
    <w:rsid w:val="00C50D25"/>
    <w:rsid w:val="00C56271"/>
    <w:rsid w:val="00C610A5"/>
    <w:rsid w:val="00C95700"/>
    <w:rsid w:val="00CA058F"/>
    <w:rsid w:val="00CB7AD1"/>
    <w:rsid w:val="00CE1825"/>
    <w:rsid w:val="00CE2C4E"/>
    <w:rsid w:val="00CE3301"/>
    <w:rsid w:val="00CE4D45"/>
    <w:rsid w:val="00CE70E4"/>
    <w:rsid w:val="00D021CE"/>
    <w:rsid w:val="00D57E30"/>
    <w:rsid w:val="00D7505C"/>
    <w:rsid w:val="00DB0004"/>
    <w:rsid w:val="00DD6CFF"/>
    <w:rsid w:val="00DE6CD9"/>
    <w:rsid w:val="00E05521"/>
    <w:rsid w:val="00E42909"/>
    <w:rsid w:val="00EA3C1C"/>
    <w:rsid w:val="00EB5DC7"/>
    <w:rsid w:val="00EC393A"/>
    <w:rsid w:val="00F03353"/>
    <w:rsid w:val="00F22052"/>
    <w:rsid w:val="00F4261A"/>
    <w:rsid w:val="00F70802"/>
    <w:rsid w:val="00F757D0"/>
    <w:rsid w:val="00F86993"/>
    <w:rsid w:val="00F932D8"/>
    <w:rsid w:val="00FF59C6"/>
    <w:rsid w:val="5ECC1B4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 w:cs="Times New Roman"/>
      <w:kern w:val="2"/>
      <w:sz w:val="24"/>
      <w:szCs w:val="22"/>
      <w:lang w:val="en-US" w:eastAsia="zh-CN" w:bidi="ar-SA"/>
    </w:rPr>
  </w:style>
  <w:style w:type="paragraph" w:styleId="2">
    <w:name w:val="heading 1"/>
    <w:basedOn w:val="1"/>
    <w:next w:val="1"/>
    <w:link w:val="24"/>
    <w:qFormat/>
    <w:uiPriority w:val="0"/>
    <w:pPr>
      <w:keepNext/>
      <w:keepLines/>
      <w:spacing w:before="480" w:after="360"/>
      <w:jc w:val="center"/>
      <w:outlineLvl w:val="0"/>
    </w:pPr>
    <w:rPr>
      <w:rFonts w:eastAsia="黑体" w:cstheme="majorBidi"/>
      <w:b/>
      <w:sz w:val="32"/>
      <w:szCs w:val="32"/>
    </w:rPr>
  </w:style>
  <w:style w:type="paragraph" w:styleId="3">
    <w:name w:val="heading 2"/>
    <w:basedOn w:val="1"/>
    <w:next w:val="1"/>
    <w:link w:val="25"/>
    <w:unhideWhenUsed/>
    <w:qFormat/>
    <w:uiPriority w:val="9"/>
    <w:pPr>
      <w:keepNext/>
      <w:keepLines/>
      <w:spacing w:before="480" w:after="120"/>
      <w:jc w:val="center"/>
      <w:outlineLvl w:val="1"/>
    </w:pPr>
    <w:rPr>
      <w:rFonts w:eastAsia="黑体" w:cstheme="majorBidi"/>
      <w:sz w:val="30"/>
      <w:szCs w:val="26"/>
    </w:rPr>
  </w:style>
  <w:style w:type="paragraph" w:styleId="4">
    <w:name w:val="heading 3"/>
    <w:basedOn w:val="1"/>
    <w:next w:val="1"/>
    <w:link w:val="26"/>
    <w:unhideWhenUsed/>
    <w:qFormat/>
    <w:uiPriority w:val="9"/>
    <w:pPr>
      <w:keepNext/>
      <w:keepLines/>
      <w:spacing w:before="240" w:after="120"/>
      <w:jc w:val="left"/>
      <w:outlineLvl w:val="2"/>
    </w:pPr>
    <w:rPr>
      <w:rFonts w:eastAsia="黑体"/>
      <w:bCs/>
      <w:sz w:val="28"/>
      <w:szCs w:val="32"/>
    </w:rPr>
  </w:style>
  <w:style w:type="paragraph" w:styleId="5">
    <w:name w:val="heading 4"/>
    <w:basedOn w:val="1"/>
    <w:next w:val="1"/>
    <w:link w:val="20"/>
    <w:unhideWhenUsed/>
    <w:qFormat/>
    <w:uiPriority w:val="9"/>
    <w:pPr>
      <w:keepNext/>
      <w:keepLines/>
      <w:outlineLvl w:val="3"/>
    </w:pPr>
    <w:rPr>
      <w:rFonts w:cstheme="majorBidi"/>
      <w:b/>
      <w:bCs/>
      <w:szCs w:val="28"/>
    </w:rPr>
  </w:style>
  <w:style w:type="paragraph" w:styleId="6">
    <w:name w:val="heading 5"/>
    <w:basedOn w:val="1"/>
    <w:next w:val="1"/>
    <w:link w:val="19"/>
    <w:qFormat/>
    <w:uiPriority w:val="0"/>
    <w:pPr>
      <w:keepNext/>
      <w:keepLines/>
      <w:spacing w:before="280" w:after="290" w:line="372" w:lineRule="auto"/>
      <w:outlineLvl w:val="4"/>
    </w:pPr>
    <w:rPr>
      <w:b/>
      <w:bCs/>
      <w:sz w:val="28"/>
      <w:szCs w:val="28"/>
    </w:rPr>
  </w:style>
  <w:style w:type="character" w:default="1" w:styleId="14">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7">
    <w:name w:val="Document Map"/>
    <w:basedOn w:val="1"/>
    <w:link w:val="18"/>
    <w:unhideWhenUsed/>
    <w:qFormat/>
    <w:uiPriority w:val="99"/>
    <w:rPr>
      <w:rFonts w:ascii="宋体"/>
      <w:sz w:val="18"/>
      <w:szCs w:val="18"/>
    </w:rPr>
  </w:style>
  <w:style w:type="paragraph" w:styleId="8">
    <w:name w:val="Body Text"/>
    <w:basedOn w:val="1"/>
    <w:link w:val="22"/>
    <w:uiPriority w:val="0"/>
    <w:pPr>
      <w:adjustRightInd w:val="0"/>
      <w:spacing w:after="60" w:line="360" w:lineRule="atLeast"/>
      <w:ind w:left="72" w:leftChars="30" w:right="30" w:rightChars="30"/>
      <w:jc w:val="center"/>
      <w:textAlignment w:val="baseline"/>
    </w:pPr>
    <w:rPr>
      <w:rFonts w:eastAsiaTheme="minorEastAsia" w:cstheme="minorBidi"/>
    </w:rPr>
  </w:style>
  <w:style w:type="paragraph" w:styleId="9">
    <w:name w:val="Balloon Text"/>
    <w:basedOn w:val="1"/>
    <w:link w:val="21"/>
    <w:unhideWhenUsed/>
    <w:qFormat/>
    <w:uiPriority w:val="99"/>
    <w:rPr>
      <w:sz w:val="18"/>
      <w:szCs w:val="18"/>
    </w:rPr>
  </w:style>
  <w:style w:type="paragraph" w:styleId="10">
    <w:name w:val="footer"/>
    <w:basedOn w:val="1"/>
    <w:link w:val="17"/>
    <w:unhideWhenUsed/>
    <w:qFormat/>
    <w:uiPriority w:val="99"/>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268"/>
      </w:tabs>
      <w:spacing w:before="480" w:after="360"/>
      <w:ind w:firstLine="643"/>
      <w:jc w:val="center"/>
    </w:pPr>
    <w:rPr>
      <w:sz w:val="28"/>
      <w:szCs w:val="24"/>
    </w:rPr>
  </w:style>
  <w:style w:type="paragraph" w:styleId="13">
    <w:name w:val="Title"/>
    <w:basedOn w:val="1"/>
    <w:next w:val="1"/>
    <w:link w:val="27"/>
    <w:qFormat/>
    <w:uiPriority w:val="10"/>
    <w:pPr>
      <w:spacing w:before="240" w:after="120"/>
      <w:ind w:firstLine="0" w:firstLineChars="0"/>
      <w:jc w:val="left"/>
      <w:outlineLvl w:val="2"/>
    </w:pPr>
    <w:rPr>
      <w:rFonts w:eastAsia="黑体"/>
      <w:bCs/>
      <w:sz w:val="28"/>
      <w:szCs w:val="32"/>
    </w:rPr>
  </w:style>
  <w:style w:type="character" w:customStyle="1" w:styleId="16">
    <w:name w:val="页眉 字符"/>
    <w:basedOn w:val="14"/>
    <w:link w:val="11"/>
    <w:qFormat/>
    <w:uiPriority w:val="99"/>
    <w:rPr>
      <w:sz w:val="18"/>
      <w:szCs w:val="18"/>
    </w:rPr>
  </w:style>
  <w:style w:type="character" w:customStyle="1" w:styleId="17">
    <w:name w:val="页脚 字符"/>
    <w:basedOn w:val="14"/>
    <w:link w:val="10"/>
    <w:qFormat/>
    <w:uiPriority w:val="99"/>
    <w:rPr>
      <w:sz w:val="18"/>
      <w:szCs w:val="18"/>
    </w:rPr>
  </w:style>
  <w:style w:type="character" w:customStyle="1" w:styleId="18">
    <w:name w:val="文档结构图 字符"/>
    <w:basedOn w:val="14"/>
    <w:link w:val="7"/>
    <w:semiHidden/>
    <w:qFormat/>
    <w:uiPriority w:val="99"/>
    <w:rPr>
      <w:rFonts w:ascii="宋体" w:hAnsi="Calibri" w:eastAsia="宋体" w:cs="Times New Roman"/>
      <w:sz w:val="18"/>
      <w:szCs w:val="18"/>
    </w:rPr>
  </w:style>
  <w:style w:type="character" w:customStyle="1" w:styleId="19">
    <w:name w:val="标题 5 字符"/>
    <w:basedOn w:val="14"/>
    <w:link w:val="6"/>
    <w:qFormat/>
    <w:uiPriority w:val="0"/>
    <w:rPr>
      <w:rFonts w:ascii="Calibri" w:hAnsi="Calibri" w:eastAsia="宋体" w:cs="Times New Roman"/>
      <w:b/>
      <w:bCs/>
      <w:sz w:val="28"/>
      <w:szCs w:val="28"/>
    </w:rPr>
  </w:style>
  <w:style w:type="character" w:customStyle="1" w:styleId="20">
    <w:name w:val="标题 4 字符"/>
    <w:basedOn w:val="14"/>
    <w:link w:val="5"/>
    <w:qFormat/>
    <w:uiPriority w:val="9"/>
    <w:rPr>
      <w:rFonts w:ascii="Times New Roman" w:hAnsi="Times New Roman" w:eastAsia="宋体" w:cstheme="majorBidi"/>
      <w:b/>
      <w:bCs/>
      <w:sz w:val="24"/>
      <w:szCs w:val="28"/>
    </w:rPr>
  </w:style>
  <w:style w:type="character" w:customStyle="1" w:styleId="21">
    <w:name w:val="批注框文本 字符"/>
    <w:basedOn w:val="14"/>
    <w:link w:val="9"/>
    <w:semiHidden/>
    <w:qFormat/>
    <w:uiPriority w:val="99"/>
    <w:rPr>
      <w:rFonts w:ascii="Calibri" w:hAnsi="Calibri" w:eastAsia="宋体" w:cs="Times New Roman"/>
      <w:sz w:val="18"/>
      <w:szCs w:val="18"/>
    </w:rPr>
  </w:style>
  <w:style w:type="character" w:customStyle="1" w:styleId="22">
    <w:name w:val="正文文本 字符"/>
    <w:link w:val="8"/>
    <w:qFormat/>
    <w:uiPriority w:val="0"/>
    <w:rPr>
      <w:rFonts w:ascii="Times New Roman" w:hAnsi="Times New Roman"/>
    </w:rPr>
  </w:style>
  <w:style w:type="character" w:customStyle="1" w:styleId="23">
    <w:name w:val="正文文本 Char1"/>
    <w:basedOn w:val="14"/>
    <w:semiHidden/>
    <w:qFormat/>
    <w:uiPriority w:val="99"/>
    <w:rPr>
      <w:rFonts w:ascii="Calibri" w:hAnsi="Calibri" w:eastAsia="宋体" w:cs="Times New Roman"/>
    </w:rPr>
  </w:style>
  <w:style w:type="character" w:customStyle="1" w:styleId="24">
    <w:name w:val="标题 1 字符"/>
    <w:basedOn w:val="14"/>
    <w:link w:val="2"/>
    <w:qFormat/>
    <w:uiPriority w:val="0"/>
    <w:rPr>
      <w:rFonts w:ascii="Times New Roman" w:hAnsi="Times New Roman" w:eastAsia="黑体" w:cstheme="majorBidi"/>
      <w:b/>
      <w:sz w:val="32"/>
      <w:szCs w:val="32"/>
    </w:rPr>
  </w:style>
  <w:style w:type="character" w:customStyle="1" w:styleId="25">
    <w:name w:val="标题 2 字符"/>
    <w:basedOn w:val="14"/>
    <w:link w:val="3"/>
    <w:qFormat/>
    <w:uiPriority w:val="9"/>
    <w:rPr>
      <w:rFonts w:ascii="Times New Roman" w:hAnsi="Times New Roman" w:eastAsia="黑体" w:cstheme="majorBidi"/>
      <w:sz w:val="30"/>
      <w:szCs w:val="26"/>
    </w:rPr>
  </w:style>
  <w:style w:type="character" w:customStyle="1" w:styleId="26">
    <w:name w:val="标题 3 字符"/>
    <w:basedOn w:val="14"/>
    <w:link w:val="4"/>
    <w:uiPriority w:val="9"/>
    <w:rPr>
      <w:rFonts w:ascii="Times New Roman" w:hAnsi="Times New Roman" w:eastAsia="黑体" w:cs="Times New Roman"/>
      <w:bCs/>
      <w:sz w:val="28"/>
      <w:szCs w:val="32"/>
    </w:rPr>
  </w:style>
  <w:style w:type="character" w:customStyle="1" w:styleId="27">
    <w:name w:val="标题 字符"/>
    <w:basedOn w:val="14"/>
    <w:link w:val="13"/>
    <w:uiPriority w:val="10"/>
    <w:rPr>
      <w:rFonts w:ascii="Times New Roman" w:hAnsi="Times New Roman" w:eastAsia="黑体" w:cs="Times New Roman"/>
      <w:bCs/>
      <w:sz w:val="28"/>
      <w:szCs w:val="32"/>
    </w:rPr>
  </w:style>
  <w:style w:type="paragraph" w:customStyle="1" w:styleId="2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1235</Words>
  <Characters>7042</Characters>
  <Lines>58</Lines>
  <Paragraphs>16</Paragraphs>
  <TotalTime>0</TotalTime>
  <ScaleCrop>false</ScaleCrop>
  <LinksUpToDate>false</LinksUpToDate>
  <CharactersWithSpaces>8261</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2017-01-17T01:53:00Z</dcterms:created>
  <dc:creator>樊振家</dc:creator>
  <cp:lastModifiedBy>sx</cp:lastModifiedBy>
  <cp:lastPrinted>2017-01-13T09:07:00Z</cp:lastPrinted>
  <dcterms:modified xsi:type="dcterms:W3CDTF">2017-02-03T08:32:16Z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