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textAlignment w:val="auto"/>
        <w:rPr>
          <w:rFonts w:hint="eastAsia"/>
          <w:sz w:val="32"/>
          <w:lang w:val="en-US" w:eastAsia="zh-CN"/>
        </w:rPr>
      </w:pPr>
      <w:r>
        <w:rPr>
          <w:rFonts w:hint="eastAsia" w:ascii="黑体" w:hAnsi="黑体" w:eastAsia="黑体"/>
          <w:sz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sz w:val="44"/>
          <w:lang w:val="en-US" w:eastAsia="zh-CN"/>
        </w:rPr>
      </w:pPr>
      <w:r>
        <w:rPr>
          <w:rFonts w:hint="eastAsia" w:ascii="小标宋" w:hAnsi="小标宋" w:eastAsia="小标宋"/>
          <w:sz w:val="44"/>
          <w:lang w:val="en-US" w:eastAsia="zh-CN"/>
        </w:rPr>
        <w:t>重点任务分工及进度安排表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sz w:val="44"/>
          <w:lang w:val="en-US" w:eastAsia="zh-CN"/>
        </w:rPr>
      </w:pPr>
      <w:bookmarkStart w:id="0" w:name="_GoBack"/>
      <w:bookmarkEnd w:id="0"/>
    </w:p>
    <w:tbl>
      <w:tblPr>
        <w:tblStyle w:val="3"/>
        <w:tblW w:w="10116" w:type="dxa"/>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4260"/>
        <w:gridCol w:w="2148"/>
        <w:gridCol w:w="2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val="0"/>
                <w:i w:val="0"/>
                <w:snapToGrid/>
                <w:color w:val="000000"/>
                <w:sz w:val="24"/>
                <w:u w:val="none"/>
                <w:lang w:eastAsia="zh-CN"/>
              </w:rPr>
            </w:pPr>
            <w:r>
              <w:rPr>
                <w:rFonts w:hint="default" w:ascii="黑体" w:hAnsi="黑体" w:eastAsia="黑体"/>
                <w:b w:val="0"/>
                <w:i w:val="0"/>
                <w:snapToGrid/>
                <w:color w:val="000000"/>
                <w:sz w:val="24"/>
                <w:u w:val="none"/>
                <w:lang w:eastAsia="zh-CN"/>
              </w:rPr>
              <w:t>序号</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val="0"/>
                <w:i w:val="0"/>
                <w:snapToGrid/>
                <w:color w:val="000000"/>
                <w:sz w:val="24"/>
                <w:u w:val="none"/>
                <w:lang w:eastAsia="zh-CN"/>
              </w:rPr>
            </w:pPr>
            <w:r>
              <w:rPr>
                <w:rFonts w:hint="default" w:ascii="黑体" w:hAnsi="黑体" w:eastAsia="黑体"/>
                <w:b w:val="0"/>
                <w:i w:val="0"/>
                <w:snapToGrid/>
                <w:color w:val="000000"/>
                <w:sz w:val="24"/>
                <w:u w:val="none"/>
                <w:lang w:eastAsia="zh-CN"/>
              </w:rPr>
              <w:t>工作任务</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val="0"/>
                <w:i w:val="0"/>
                <w:snapToGrid/>
                <w:color w:val="000000"/>
                <w:sz w:val="24"/>
                <w:u w:val="none"/>
                <w:lang w:eastAsia="zh-CN"/>
              </w:rPr>
            </w:pPr>
            <w:r>
              <w:rPr>
                <w:rFonts w:hint="eastAsia" w:ascii="黑体" w:hAnsi="黑体" w:eastAsia="黑体"/>
                <w:b w:val="0"/>
                <w:i w:val="0"/>
                <w:snapToGrid/>
                <w:color w:val="000000"/>
                <w:sz w:val="24"/>
                <w:u w:val="none"/>
                <w:lang w:eastAsia="zh-CN"/>
              </w:rPr>
              <w:t>责任单位</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val="0"/>
                <w:i w:val="0"/>
                <w:snapToGrid/>
                <w:color w:val="000000"/>
                <w:sz w:val="24"/>
                <w:u w:val="none"/>
                <w:lang w:eastAsia="zh-CN"/>
              </w:rPr>
            </w:pPr>
            <w:r>
              <w:rPr>
                <w:rFonts w:hint="default" w:ascii="黑体" w:hAnsi="黑体" w:eastAsia="黑体"/>
                <w:b w:val="0"/>
                <w:i w:val="0"/>
                <w:snapToGrid/>
                <w:color w:val="000000"/>
                <w:sz w:val="24"/>
                <w:u w:val="none"/>
                <w:lang w:eastAsia="zh-CN"/>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tabs>
                <w:tab w:val="left" w:pos="269"/>
              </w:tabs>
              <w:kinsoku/>
              <w:autoSpaceDE/>
              <w:autoSpaceDN w:val="0"/>
              <w:jc w:val="left"/>
              <w:textAlignment w:val="center"/>
              <w:rPr>
                <w:rFonts w:hint="eastAsia"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ab/>
            </w:r>
            <w:r>
              <w:rPr>
                <w:rFonts w:hint="eastAsia" w:ascii="宋体" w:hAnsi="宋体" w:eastAsia="宋体"/>
                <w:b w:val="0"/>
                <w:i w:val="0"/>
                <w:snapToGrid/>
                <w:color w:val="000000"/>
                <w:sz w:val="24"/>
                <w:u w:val="none"/>
                <w:lang w:val="en-US" w:eastAsia="zh-CN"/>
              </w:rPr>
              <w:t>1</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各地制订完善扶持建筑业健康发展政策措施。</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各地级以上市政府（排在第一位的为牵头单位，下同）</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2018年12月底前</w:t>
            </w:r>
            <w:r>
              <w:rPr>
                <w:rFonts w:hint="eastAsia" w:ascii="宋体" w:hAnsi="宋体" w:eastAsia="宋体"/>
                <w:b w:val="0"/>
                <w:i w:val="0"/>
                <w:snapToGrid/>
                <w:color w:val="000000"/>
                <w:sz w:val="24"/>
                <w:u w:val="none"/>
                <w:lang w:eastAsia="zh-CN"/>
              </w:rPr>
              <w:t>将有关政策措施报省住房城乡建设厅备案。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进一步简化资质类别和等级，委托、下放部分省级审批权限。</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省住房城乡建设厅、省编办等</w:t>
            </w:r>
            <w:r>
              <w:rPr>
                <w:rFonts w:hint="eastAsia" w:ascii="宋体" w:hAnsi="宋体" w:eastAsia="宋体"/>
                <w:b w:val="0"/>
                <w:i w:val="0"/>
                <w:snapToGrid/>
                <w:color w:val="000000"/>
                <w:sz w:val="24"/>
                <w:u w:val="none"/>
                <w:lang w:eastAsia="zh-CN"/>
              </w:rPr>
              <w:t>单位</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w:t>
            </w:r>
            <w:r>
              <w:rPr>
                <w:rFonts w:hint="eastAsia" w:ascii="宋体" w:hAnsi="宋体"/>
                <w:b w:val="0"/>
                <w:i w:val="0"/>
                <w:snapToGrid/>
                <w:color w:val="000000"/>
                <w:sz w:val="24"/>
                <w:u w:val="none"/>
                <w:lang w:val="en-US" w:eastAsia="zh-CN"/>
              </w:rPr>
              <w:t>8</w:t>
            </w:r>
            <w:r>
              <w:rPr>
                <w:rFonts w:hint="default" w:ascii="宋体" w:hAnsi="宋体" w:eastAsia="宋体"/>
                <w:b w:val="0"/>
                <w:i w:val="0"/>
                <w:snapToGrid/>
                <w:color w:val="000000"/>
                <w:sz w:val="24"/>
                <w:u w:val="none"/>
                <w:lang w:eastAsia="zh-CN"/>
              </w:rPr>
              <w:t>年</w:t>
            </w:r>
            <w:r>
              <w:rPr>
                <w:rFonts w:hint="eastAsia" w:ascii="宋体" w:hAnsi="宋体" w:eastAsia="宋体"/>
                <w:b w:val="0"/>
                <w:i w:val="0"/>
                <w:snapToGrid/>
                <w:color w:val="000000"/>
                <w:sz w:val="24"/>
                <w:u w:val="none"/>
                <w:lang w:val="en-US" w:eastAsia="zh-CN"/>
              </w:rPr>
              <w:t>12月</w:t>
            </w:r>
            <w:r>
              <w:rPr>
                <w:rFonts w:hint="default" w:ascii="宋体" w:hAnsi="宋体" w:eastAsia="宋体"/>
                <w:b w:val="0"/>
                <w:i w:val="0"/>
                <w:snapToGrid/>
                <w:color w:val="000000"/>
                <w:sz w:val="24"/>
                <w:u w:val="none"/>
                <w:lang w:eastAsia="zh-CN"/>
              </w:rPr>
              <w:t>底前完成部分内容，并持续实施。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3</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深化移动互联在行政许可上的应用。</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w:t>
            </w:r>
            <w:r>
              <w:rPr>
                <w:rFonts w:hint="eastAsia" w:ascii="宋体" w:hAnsi="宋体" w:eastAsia="宋体"/>
                <w:b w:val="0"/>
                <w:i w:val="0"/>
                <w:snapToGrid/>
                <w:color w:val="000000"/>
                <w:sz w:val="24"/>
                <w:u w:val="none"/>
                <w:lang w:eastAsia="zh-CN"/>
              </w:rPr>
              <w:t>，</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4</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优化工程建设项目流程，</w:t>
            </w:r>
            <w:r>
              <w:rPr>
                <w:rFonts w:hint="eastAsia" w:ascii="宋体" w:hAnsi="宋体" w:eastAsia="宋体"/>
                <w:b w:val="0"/>
                <w:i w:val="0"/>
                <w:snapToGrid/>
                <w:color w:val="000000"/>
                <w:sz w:val="24"/>
                <w:u w:val="none"/>
                <w:lang w:eastAsia="zh-CN"/>
              </w:rPr>
              <w:t>推行</w:t>
            </w:r>
            <w:r>
              <w:rPr>
                <w:rFonts w:hint="default" w:ascii="宋体" w:hAnsi="宋体" w:eastAsia="宋体"/>
                <w:b w:val="0"/>
                <w:i w:val="0"/>
                <w:snapToGrid/>
                <w:color w:val="000000"/>
                <w:sz w:val="24"/>
                <w:u w:val="none"/>
                <w:lang w:eastAsia="zh-CN"/>
              </w:rPr>
              <w:t>联合审图和联合验收机制。</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省住房城乡建设厅、发展改革委</w:t>
            </w:r>
            <w:r>
              <w:rPr>
                <w:rFonts w:hint="eastAsia" w:ascii="宋体" w:hAnsi="宋体"/>
                <w:b w:val="0"/>
                <w:i w:val="0"/>
                <w:snapToGrid/>
                <w:color w:val="000000"/>
                <w:sz w:val="24"/>
                <w:u w:val="none"/>
                <w:lang w:eastAsia="zh-CN"/>
              </w:rPr>
              <w:t>、</w:t>
            </w:r>
            <w:r>
              <w:rPr>
                <w:rFonts w:hint="default" w:ascii="宋体" w:hAnsi="宋体" w:eastAsia="宋体"/>
                <w:b w:val="0"/>
                <w:i w:val="0"/>
                <w:snapToGrid/>
                <w:color w:val="000000"/>
                <w:sz w:val="24"/>
                <w:u w:val="none"/>
                <w:lang w:eastAsia="zh-CN"/>
              </w:rPr>
              <w:t>交通运输厅、水利厅等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5</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扶持个人执业事务所发展，推动建立个人执业保险制度。</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w:t>
            </w:r>
            <w:r>
              <w:rPr>
                <w:rFonts w:hint="eastAsia" w:ascii="宋体" w:hAnsi="宋体" w:eastAsia="宋体"/>
                <w:b w:val="0"/>
                <w:i w:val="0"/>
                <w:snapToGrid/>
                <w:color w:val="000000"/>
                <w:sz w:val="24"/>
                <w:u w:val="none"/>
                <w:lang w:eastAsia="zh-CN"/>
              </w:rPr>
              <w:t>，</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6</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完善工程项目招投标管理机制。</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省发展改革委、住房城乡建设厅、交通运输厅、水利厅等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7</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完善监察联动机制，加大对违法违规行为的查处力度。</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省住房城乡建设厅、审计厅、发展改革委、交通运输厅、水利厅等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8</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推行</w:t>
            </w:r>
            <w:r>
              <w:rPr>
                <w:rFonts w:hint="default" w:ascii="宋体" w:hAnsi="宋体" w:eastAsia="宋体"/>
                <w:b w:val="0"/>
                <w:i w:val="0"/>
                <w:snapToGrid/>
                <w:color w:val="000000"/>
                <w:sz w:val="24"/>
                <w:u w:val="none"/>
                <w:lang w:eastAsia="zh-CN"/>
              </w:rPr>
              <w:t>工程总承包、全过程工程咨询服务</w:t>
            </w:r>
            <w:r>
              <w:rPr>
                <w:rFonts w:hint="eastAsia" w:ascii="宋体" w:hAnsi="宋体" w:eastAsia="宋体"/>
                <w:b w:val="0"/>
                <w:i w:val="0"/>
                <w:snapToGrid/>
                <w:color w:val="000000"/>
                <w:sz w:val="24"/>
                <w:u w:val="none"/>
                <w:lang w:eastAsia="zh-CN"/>
              </w:rPr>
              <w:t>模式试点</w:t>
            </w:r>
            <w:r>
              <w:rPr>
                <w:rFonts w:hint="default" w:ascii="宋体" w:hAnsi="宋体" w:eastAsia="宋体"/>
                <w:b w:val="0"/>
                <w:i w:val="0"/>
                <w:snapToGrid/>
                <w:color w:val="000000"/>
                <w:sz w:val="24"/>
                <w:u w:val="none"/>
                <w:lang w:eastAsia="zh-CN"/>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省住房城乡建设厅、发展改革委、交通运输厅、水利厅、代建局等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w:t>
            </w:r>
            <w:r>
              <w:rPr>
                <w:rFonts w:hint="eastAsia" w:ascii="宋体" w:hAnsi="宋体" w:eastAsia="宋体"/>
                <w:b w:val="0"/>
                <w:i w:val="0"/>
                <w:snapToGrid/>
                <w:color w:val="000000"/>
                <w:sz w:val="24"/>
                <w:u w:val="none"/>
                <w:lang w:val="en-US" w:eastAsia="zh-CN"/>
              </w:rPr>
              <w:t>8</w:t>
            </w:r>
            <w:r>
              <w:rPr>
                <w:rFonts w:hint="default" w:ascii="宋体" w:hAnsi="宋体" w:eastAsia="宋体"/>
                <w:b w:val="0"/>
                <w:i w:val="0"/>
                <w:snapToGrid/>
                <w:color w:val="000000"/>
                <w:sz w:val="24"/>
                <w:u w:val="none"/>
                <w:lang w:eastAsia="zh-CN"/>
              </w:rPr>
              <w:t>年12月底前完成。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9</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完善工程建设标准。</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w:t>
            </w:r>
            <w:r>
              <w:rPr>
                <w:rFonts w:hint="eastAsia" w:ascii="宋体" w:hAnsi="宋体" w:eastAsia="宋体"/>
                <w:b w:val="0"/>
                <w:i w:val="0"/>
                <w:snapToGrid/>
                <w:color w:val="000000"/>
                <w:sz w:val="24"/>
                <w:u w:val="none"/>
                <w:lang w:eastAsia="zh-CN"/>
              </w:rPr>
              <w:t>，</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10</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强化工程质量安全管理。</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省住房城乡建设厅、交通运输厅、水利厅等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eastAsia="宋体"/>
                <w:b w:val="0"/>
                <w:i w:val="0"/>
                <w:snapToGrid/>
                <w:color w:val="000000"/>
                <w:sz w:val="24"/>
                <w:u w:val="none"/>
                <w:lang w:val="en-US" w:eastAsia="zh-CN"/>
              </w:rPr>
              <w:t>1</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加强工程质量监督队伍建设，监督机构履行职能所需经费由同级财政预算全额保障。试行通过政府购买服务方式，委托具备条件的社会力量为工程质量安全监督检查提供技术和行为监督服务。</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省住房城乡建设厅、交通运输厅、水利厅</w:t>
            </w:r>
            <w:r>
              <w:rPr>
                <w:rFonts w:hint="eastAsia" w:ascii="宋体" w:hAnsi="宋体" w:eastAsia="宋体"/>
                <w:b w:val="0"/>
                <w:i w:val="0"/>
                <w:snapToGrid/>
                <w:color w:val="000000"/>
                <w:sz w:val="24"/>
                <w:u w:val="none"/>
                <w:lang w:eastAsia="zh-CN"/>
              </w:rPr>
              <w:t>、</w:t>
            </w:r>
            <w:r>
              <w:rPr>
                <w:rFonts w:hint="default" w:ascii="宋体" w:hAnsi="宋体" w:eastAsia="宋体"/>
                <w:b w:val="0"/>
                <w:i w:val="0"/>
                <w:snapToGrid/>
                <w:color w:val="000000"/>
                <w:sz w:val="24"/>
                <w:u w:val="none"/>
                <w:lang w:eastAsia="zh-CN"/>
              </w:rPr>
              <w:t>财政厅</w:t>
            </w:r>
            <w:r>
              <w:rPr>
                <w:rFonts w:hint="eastAsia" w:ascii="宋体" w:hAnsi="宋体" w:eastAsia="宋体"/>
                <w:b w:val="0"/>
                <w:i w:val="0"/>
                <w:snapToGrid/>
                <w:color w:val="000000"/>
                <w:sz w:val="24"/>
                <w:u w:val="none"/>
                <w:lang w:eastAsia="zh-CN"/>
              </w:rPr>
              <w:t>，省</w:t>
            </w:r>
            <w:r>
              <w:rPr>
                <w:rFonts w:hint="default" w:ascii="宋体" w:hAnsi="宋体" w:eastAsia="宋体"/>
                <w:b w:val="0"/>
                <w:i w:val="0"/>
                <w:snapToGrid/>
                <w:color w:val="000000"/>
                <w:sz w:val="24"/>
                <w:u w:val="none"/>
                <w:lang w:eastAsia="zh-CN"/>
              </w:rPr>
              <w:t>编办等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eastAsia="宋体"/>
                <w:b w:val="0"/>
                <w:i w:val="0"/>
                <w:snapToGrid/>
                <w:color w:val="000000"/>
                <w:sz w:val="24"/>
                <w:u w:val="none"/>
                <w:lang w:val="en-US" w:eastAsia="zh-CN"/>
              </w:rPr>
              <w:t>2</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完善建筑领域保险机制。</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省住房城乡建设厅、广东保监局等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eastAsia="宋体"/>
                <w:b w:val="0"/>
                <w:i w:val="0"/>
                <w:snapToGrid/>
                <w:color w:val="000000"/>
                <w:sz w:val="24"/>
                <w:u w:val="none"/>
                <w:lang w:val="en-US" w:eastAsia="zh-CN"/>
              </w:rPr>
              <w:t>3</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完善信用信息数据共享。</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省发展改革委、住房城乡建设厅、交通运输厅、水利厅</w:t>
            </w:r>
            <w:r>
              <w:rPr>
                <w:rFonts w:hint="eastAsia" w:ascii="宋体" w:hAnsi="宋体" w:eastAsia="宋体"/>
                <w:b w:val="0"/>
                <w:i w:val="0"/>
                <w:snapToGrid/>
                <w:color w:val="000000"/>
                <w:sz w:val="24"/>
                <w:u w:val="none"/>
                <w:lang w:eastAsia="zh-CN"/>
              </w:rPr>
              <w:t>、工商局</w:t>
            </w:r>
            <w:r>
              <w:rPr>
                <w:rFonts w:hint="default" w:ascii="宋体" w:hAnsi="宋体" w:eastAsia="宋体"/>
                <w:b w:val="0"/>
                <w:i w:val="0"/>
                <w:snapToGrid/>
                <w:color w:val="000000"/>
                <w:sz w:val="24"/>
                <w:u w:val="none"/>
                <w:lang w:eastAsia="zh-CN"/>
              </w:rPr>
              <w:t>等</w:t>
            </w:r>
            <w:r>
              <w:rPr>
                <w:rFonts w:hint="eastAsia" w:ascii="宋体" w:hAnsi="宋体" w:eastAsia="宋体"/>
                <w:b w:val="0"/>
                <w:i w:val="0"/>
                <w:snapToGrid/>
                <w:color w:val="000000"/>
                <w:sz w:val="24"/>
                <w:u w:val="none"/>
                <w:lang w:eastAsia="zh-CN"/>
              </w:rPr>
              <w:t>单位，</w:t>
            </w: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eastAsia="宋体"/>
                <w:b w:val="0"/>
                <w:i w:val="0"/>
                <w:snapToGrid/>
                <w:color w:val="000000"/>
                <w:sz w:val="24"/>
                <w:u w:val="none"/>
                <w:lang w:val="en-US" w:eastAsia="zh-CN"/>
              </w:rPr>
              <w:t>4</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推行施工过程结算和全过程造价监控制度。</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省住房城乡建设厅、交通运输厅、水利厅等</w:t>
            </w:r>
            <w:r>
              <w:rPr>
                <w:rFonts w:hint="eastAsia" w:ascii="宋体" w:hAnsi="宋体" w:eastAsia="宋体"/>
                <w:b w:val="0"/>
                <w:i w:val="0"/>
                <w:snapToGrid/>
                <w:color w:val="000000"/>
                <w:sz w:val="24"/>
                <w:u w:val="none"/>
                <w:lang w:eastAsia="zh-CN"/>
              </w:rPr>
              <w:t>单位，各地级以上市政府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2018年</w:t>
            </w:r>
            <w:r>
              <w:rPr>
                <w:rFonts w:hint="eastAsia" w:ascii="宋体" w:hAnsi="宋体" w:eastAsia="宋体"/>
                <w:b w:val="0"/>
                <w:i w:val="0"/>
                <w:snapToGrid/>
                <w:color w:val="000000"/>
                <w:sz w:val="24"/>
                <w:u w:val="none"/>
                <w:lang w:val="en-US" w:eastAsia="zh-CN"/>
              </w:rPr>
              <w:t>12</w:t>
            </w:r>
            <w:r>
              <w:rPr>
                <w:rFonts w:hint="default" w:ascii="宋体" w:hAnsi="宋体" w:eastAsia="宋体"/>
                <w:b w:val="0"/>
                <w:i w:val="0"/>
                <w:snapToGrid/>
                <w:color w:val="000000"/>
                <w:sz w:val="24"/>
                <w:u w:val="none"/>
                <w:lang w:eastAsia="zh-CN"/>
              </w:rPr>
              <w:t>月</w:t>
            </w:r>
            <w:r>
              <w:rPr>
                <w:rFonts w:hint="eastAsia" w:ascii="宋体" w:hAnsi="宋体" w:eastAsia="宋体"/>
                <w:b w:val="0"/>
                <w:i w:val="0"/>
                <w:snapToGrid/>
                <w:color w:val="000000"/>
                <w:sz w:val="24"/>
                <w:u w:val="none"/>
                <w:lang w:eastAsia="zh-CN"/>
              </w:rPr>
              <w:t>底</w:t>
            </w:r>
            <w:r>
              <w:rPr>
                <w:rFonts w:hint="default" w:ascii="宋体" w:hAnsi="宋体" w:eastAsia="宋体"/>
                <w:b w:val="0"/>
                <w:i w:val="0"/>
                <w:snapToGrid/>
                <w:color w:val="000000"/>
                <w:sz w:val="24"/>
                <w:u w:val="none"/>
                <w:lang w:eastAsia="zh-CN"/>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15</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建立全省重点骨干建筑企业名录。</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w:t>
            </w:r>
            <w:r>
              <w:rPr>
                <w:rFonts w:hint="eastAsia" w:ascii="宋体" w:hAnsi="宋体" w:eastAsia="宋体"/>
                <w:b w:val="0"/>
                <w:i w:val="0"/>
                <w:snapToGrid/>
                <w:color w:val="000000"/>
                <w:sz w:val="24"/>
                <w:u w:val="none"/>
                <w:lang w:val="en-US" w:eastAsia="zh-CN"/>
              </w:rPr>
              <w:t>8</w:t>
            </w:r>
            <w:r>
              <w:rPr>
                <w:rFonts w:hint="default" w:ascii="宋体" w:hAnsi="宋体" w:eastAsia="宋体"/>
                <w:b w:val="0"/>
                <w:i w:val="0"/>
                <w:snapToGrid/>
                <w:color w:val="000000"/>
                <w:sz w:val="24"/>
                <w:u w:val="none"/>
                <w:lang w:eastAsia="zh-CN"/>
              </w:rPr>
              <w:t>年</w:t>
            </w:r>
            <w:r>
              <w:rPr>
                <w:rFonts w:hint="eastAsia" w:ascii="宋体" w:hAnsi="宋体" w:eastAsia="宋体"/>
                <w:b w:val="0"/>
                <w:i w:val="0"/>
                <w:snapToGrid/>
                <w:color w:val="000000"/>
                <w:sz w:val="24"/>
                <w:u w:val="none"/>
                <w:lang w:val="en-US" w:eastAsia="zh-CN"/>
              </w:rPr>
              <w:t>10</w:t>
            </w:r>
            <w:r>
              <w:rPr>
                <w:rFonts w:hint="default" w:ascii="宋体" w:hAnsi="宋体" w:eastAsia="宋体"/>
                <w:b w:val="0"/>
                <w:i w:val="0"/>
                <w:snapToGrid/>
                <w:color w:val="000000"/>
                <w:sz w:val="24"/>
                <w:u w:val="none"/>
                <w:lang w:eastAsia="zh-CN"/>
              </w:rPr>
              <w:t>月底前完成，并每年动态公布。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eastAsia="宋体"/>
                <w:b w:val="0"/>
                <w:i w:val="0"/>
                <w:snapToGrid/>
                <w:color w:val="000000"/>
                <w:sz w:val="24"/>
                <w:u w:val="none"/>
                <w:lang w:val="en-US" w:eastAsia="zh-CN"/>
              </w:rPr>
              <w:t>6</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发展壮大建筑业总部经济</w:t>
            </w:r>
            <w:r>
              <w:rPr>
                <w:rFonts w:hint="eastAsia" w:ascii="宋体" w:hAnsi="宋体" w:eastAsia="宋体"/>
                <w:b w:val="0"/>
                <w:i w:val="0"/>
                <w:snapToGrid/>
                <w:color w:val="000000"/>
                <w:sz w:val="24"/>
                <w:u w:val="none"/>
                <w:lang w:eastAsia="zh-CN"/>
              </w:rPr>
              <w:t>，创建“建筑之乡”</w:t>
            </w:r>
            <w:r>
              <w:rPr>
                <w:rFonts w:hint="default" w:ascii="宋体" w:hAnsi="宋体" w:eastAsia="宋体"/>
                <w:b w:val="0"/>
                <w:i w:val="0"/>
                <w:snapToGrid/>
                <w:color w:val="000000"/>
                <w:sz w:val="24"/>
                <w:u w:val="none"/>
                <w:lang w:eastAsia="zh-CN"/>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各地</w:t>
            </w:r>
            <w:r>
              <w:rPr>
                <w:rFonts w:hint="eastAsia" w:ascii="宋体" w:hAnsi="宋体" w:eastAsia="宋体"/>
                <w:b w:val="0"/>
                <w:i w:val="0"/>
                <w:snapToGrid/>
                <w:color w:val="000000"/>
                <w:sz w:val="24"/>
                <w:u w:val="none"/>
                <w:lang w:eastAsia="zh-CN"/>
              </w:rPr>
              <w:t>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17</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完善建筑业职业培训、技能鉴定、职称评审等机制。</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省人力资源社会保障厅、住房城乡建设厅等</w:t>
            </w:r>
            <w:r>
              <w:rPr>
                <w:rFonts w:hint="eastAsia" w:ascii="宋体" w:hAnsi="宋体" w:eastAsia="宋体"/>
                <w:b w:val="0"/>
                <w:i w:val="0"/>
                <w:snapToGrid/>
                <w:color w:val="000000"/>
                <w:sz w:val="24"/>
                <w:u w:val="none"/>
                <w:lang w:eastAsia="zh-CN"/>
              </w:rPr>
              <w:t>单位，各地级以上市政府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18</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落实对高层次人才的引进或培育政策。</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各</w:t>
            </w:r>
            <w:r>
              <w:rPr>
                <w:rFonts w:hint="eastAsia" w:ascii="宋体" w:hAnsi="宋体" w:eastAsia="宋体"/>
                <w:b w:val="0"/>
                <w:i w:val="0"/>
                <w:snapToGrid/>
                <w:color w:val="000000"/>
                <w:sz w:val="24"/>
                <w:u w:val="none"/>
                <w:lang w:eastAsia="zh-CN"/>
              </w:rPr>
              <w:t>地级以上市</w:t>
            </w:r>
            <w:r>
              <w:rPr>
                <w:rFonts w:hint="default" w:ascii="宋体" w:hAnsi="宋体" w:eastAsia="宋体"/>
                <w:b w:val="0"/>
                <w:i w:val="0"/>
                <w:snapToGrid/>
                <w:color w:val="000000"/>
                <w:sz w:val="24"/>
                <w:u w:val="none"/>
                <w:lang w:eastAsia="zh-CN"/>
              </w:rPr>
              <w:t>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19</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推行建设工程领域用工实名制。</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省住房城乡建设厅、交通运输厅、水利厅、人力资源社会保障厅</w:t>
            </w:r>
            <w:r>
              <w:rPr>
                <w:rFonts w:hint="eastAsia" w:ascii="宋体" w:hAnsi="宋体" w:eastAsia="宋体"/>
                <w:b w:val="0"/>
                <w:i w:val="0"/>
                <w:snapToGrid/>
                <w:color w:val="000000"/>
                <w:sz w:val="24"/>
                <w:u w:val="none"/>
                <w:lang w:eastAsia="zh-CN"/>
              </w:rPr>
              <w:t>，省</w:t>
            </w:r>
            <w:r>
              <w:rPr>
                <w:rFonts w:hint="default" w:ascii="宋体" w:hAnsi="宋体" w:eastAsia="宋体"/>
                <w:b w:val="0"/>
                <w:i w:val="0"/>
                <w:snapToGrid/>
                <w:color w:val="000000"/>
                <w:sz w:val="24"/>
                <w:u w:val="none"/>
                <w:lang w:eastAsia="zh-CN"/>
              </w:rPr>
              <w:t>总工会等</w:t>
            </w:r>
            <w:r>
              <w:rPr>
                <w:rFonts w:hint="eastAsia" w:ascii="宋体" w:hAnsi="宋体" w:eastAsia="宋体"/>
                <w:b w:val="0"/>
                <w:i w:val="0"/>
                <w:snapToGrid/>
                <w:color w:val="000000"/>
                <w:sz w:val="24"/>
                <w:u w:val="none"/>
                <w:lang w:eastAsia="zh-CN"/>
              </w:rPr>
              <w:t>单位，各地级以上市政府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w:t>
            </w:r>
            <w:r>
              <w:rPr>
                <w:rFonts w:hint="eastAsia" w:ascii="宋体" w:hAnsi="宋体" w:eastAsia="宋体"/>
                <w:b w:val="0"/>
                <w:i w:val="0"/>
                <w:snapToGrid/>
                <w:color w:val="000000"/>
                <w:sz w:val="24"/>
                <w:u w:val="none"/>
                <w:lang w:val="en-US" w:eastAsia="zh-CN"/>
              </w:rPr>
              <w:t>8</w:t>
            </w:r>
            <w:r>
              <w:rPr>
                <w:rFonts w:hint="default" w:ascii="宋体" w:hAnsi="宋体" w:eastAsia="宋体"/>
                <w:b w:val="0"/>
                <w:i w:val="0"/>
                <w:snapToGrid/>
                <w:color w:val="000000"/>
                <w:sz w:val="24"/>
                <w:u w:val="none"/>
                <w:lang w:eastAsia="zh-CN"/>
              </w:rPr>
              <w:t>年12月底前完成。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2"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eastAsia="宋体"/>
                <w:b w:val="0"/>
                <w:i w:val="0"/>
                <w:snapToGrid/>
                <w:color w:val="000000"/>
                <w:sz w:val="24"/>
                <w:u w:val="none"/>
                <w:lang w:val="en-US" w:eastAsia="zh-CN"/>
              </w:rPr>
              <w:t>20</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推进建筑节能与绿色建筑发展。</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省住房城乡建设厅、发展改革委、经济和信息化委等</w:t>
            </w:r>
            <w:r>
              <w:rPr>
                <w:rFonts w:hint="eastAsia" w:ascii="宋体" w:hAnsi="宋体" w:eastAsia="宋体"/>
                <w:b w:val="0"/>
                <w:i w:val="0"/>
                <w:snapToGrid/>
                <w:color w:val="000000"/>
                <w:sz w:val="24"/>
                <w:u w:val="none"/>
                <w:lang w:eastAsia="zh-CN"/>
              </w:rPr>
              <w:t>单位，各地级以上市政府</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r>
              <w:rPr>
                <w:rFonts w:hint="eastAsia" w:ascii="宋体" w:hAnsi="宋体" w:eastAsia="宋体"/>
                <w:b w:val="0"/>
                <w:i w:val="0"/>
                <w:snapToGrid/>
                <w:color w:val="000000"/>
                <w:sz w:val="24"/>
                <w:u w:val="none"/>
                <w:lang w:val="en-US" w:eastAsia="zh-CN"/>
              </w:rPr>
              <w:t>1</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优化建筑设计招标、投标、评标模式。</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省发展改革委、住房城乡建设厅</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r>
              <w:rPr>
                <w:rFonts w:hint="eastAsia" w:ascii="宋体" w:hAnsi="宋体" w:eastAsia="宋体"/>
                <w:b w:val="0"/>
                <w:i w:val="0"/>
                <w:snapToGrid/>
                <w:color w:val="000000"/>
                <w:sz w:val="24"/>
                <w:u w:val="none"/>
                <w:lang w:val="en-US" w:eastAsia="zh-CN"/>
              </w:rPr>
              <w:t>2</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加大</w:t>
            </w:r>
            <w:r>
              <w:rPr>
                <w:rFonts w:hint="eastAsia" w:ascii="宋体" w:hAnsi="宋体" w:eastAsia="宋体"/>
                <w:b w:val="0"/>
                <w:i w:val="0"/>
                <w:snapToGrid/>
                <w:color w:val="000000"/>
                <w:sz w:val="24"/>
                <w:u w:val="none"/>
                <w:lang w:eastAsia="zh-CN"/>
              </w:rPr>
              <w:t>建筑业</w:t>
            </w:r>
            <w:r>
              <w:rPr>
                <w:rFonts w:hint="default" w:ascii="宋体" w:hAnsi="宋体" w:eastAsia="宋体"/>
                <w:b w:val="0"/>
                <w:i w:val="0"/>
                <w:snapToGrid/>
                <w:color w:val="000000"/>
                <w:sz w:val="24"/>
                <w:u w:val="none"/>
                <w:lang w:eastAsia="zh-CN"/>
              </w:rPr>
              <w:t>科技创新和新技术应用力度。</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省科技厅、住房城乡建设厅、发展改革委、经济和信息化委等</w:t>
            </w:r>
            <w:r>
              <w:rPr>
                <w:rFonts w:hint="eastAsia" w:ascii="宋体" w:hAnsi="宋体" w:eastAsia="宋体"/>
                <w:b w:val="0"/>
                <w:i w:val="0"/>
                <w:snapToGrid/>
                <w:color w:val="000000"/>
                <w:sz w:val="24"/>
                <w:u w:val="none"/>
                <w:lang w:eastAsia="zh-CN"/>
              </w:rPr>
              <w:t>单位</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r>
              <w:rPr>
                <w:rFonts w:hint="eastAsia" w:ascii="宋体" w:hAnsi="宋体" w:eastAsia="宋体"/>
                <w:b w:val="0"/>
                <w:i w:val="0"/>
                <w:snapToGrid/>
                <w:color w:val="000000"/>
                <w:sz w:val="24"/>
                <w:u w:val="none"/>
                <w:lang w:val="en-US" w:eastAsia="zh-CN"/>
              </w:rPr>
              <w:t>3</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加大金融财税等政策支持力度</w:t>
            </w:r>
            <w:r>
              <w:rPr>
                <w:rFonts w:hint="default" w:ascii="宋体" w:hAnsi="宋体" w:eastAsia="宋体"/>
                <w:b w:val="0"/>
                <w:i w:val="0"/>
                <w:snapToGrid/>
                <w:color w:val="000000"/>
                <w:sz w:val="24"/>
                <w:u w:val="none"/>
                <w:lang w:eastAsia="zh-CN"/>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省金融办</w:t>
            </w:r>
            <w:r>
              <w:rPr>
                <w:rFonts w:hint="eastAsia" w:ascii="宋体" w:hAnsi="宋体" w:eastAsia="宋体"/>
                <w:b w:val="0"/>
                <w:i w:val="0"/>
                <w:snapToGrid/>
                <w:color w:val="000000"/>
                <w:sz w:val="24"/>
                <w:u w:val="none"/>
                <w:lang w:eastAsia="zh-CN"/>
              </w:rPr>
              <w:t>、</w:t>
            </w:r>
            <w:r>
              <w:rPr>
                <w:rFonts w:hint="default" w:ascii="宋体" w:hAnsi="宋体" w:eastAsia="宋体"/>
                <w:b w:val="0"/>
                <w:i w:val="0"/>
                <w:snapToGrid/>
                <w:color w:val="000000"/>
                <w:sz w:val="24"/>
                <w:u w:val="none"/>
                <w:lang w:eastAsia="zh-CN"/>
              </w:rPr>
              <w:t>财政厅、</w:t>
            </w:r>
            <w:r>
              <w:rPr>
                <w:rFonts w:hint="eastAsia" w:ascii="宋体" w:hAnsi="宋体" w:eastAsia="宋体"/>
                <w:b w:val="0"/>
                <w:i w:val="0"/>
                <w:snapToGrid/>
                <w:color w:val="000000"/>
                <w:sz w:val="24"/>
                <w:u w:val="none"/>
                <w:lang w:eastAsia="zh-CN"/>
              </w:rPr>
              <w:t>经济和信息化委、科技厅、住房城乡建设厅，省</w:t>
            </w:r>
            <w:r>
              <w:rPr>
                <w:rFonts w:hint="default" w:ascii="宋体" w:hAnsi="宋体" w:eastAsia="宋体"/>
                <w:b w:val="0"/>
                <w:i w:val="0"/>
                <w:snapToGrid/>
                <w:color w:val="000000"/>
                <w:sz w:val="24"/>
                <w:u w:val="none"/>
                <w:lang w:eastAsia="zh-CN"/>
              </w:rPr>
              <w:t>税</w:t>
            </w:r>
            <w:r>
              <w:rPr>
                <w:rFonts w:hint="eastAsia" w:ascii="宋体" w:hAnsi="宋体" w:eastAsia="宋体"/>
                <w:b w:val="0"/>
                <w:i w:val="0"/>
                <w:snapToGrid/>
                <w:color w:val="000000"/>
                <w:sz w:val="24"/>
                <w:u w:val="none"/>
                <w:lang w:eastAsia="zh-CN"/>
              </w:rPr>
              <w:t>务</w:t>
            </w:r>
            <w:r>
              <w:rPr>
                <w:rFonts w:hint="default" w:ascii="宋体" w:hAnsi="宋体" w:eastAsia="宋体"/>
                <w:b w:val="0"/>
                <w:i w:val="0"/>
                <w:snapToGrid/>
                <w:color w:val="000000"/>
                <w:sz w:val="24"/>
                <w:u w:val="none"/>
                <w:lang w:eastAsia="zh-CN"/>
              </w:rPr>
              <w:t>局</w:t>
            </w:r>
            <w:r>
              <w:rPr>
                <w:rFonts w:hint="eastAsia" w:ascii="宋体" w:hAnsi="宋体" w:eastAsia="宋体"/>
                <w:b w:val="0"/>
                <w:i w:val="0"/>
                <w:snapToGrid/>
                <w:color w:val="000000"/>
                <w:sz w:val="24"/>
                <w:u w:val="none"/>
                <w:lang w:eastAsia="zh-CN"/>
              </w:rPr>
              <w:t>、广东银监局</w:t>
            </w:r>
            <w:r>
              <w:rPr>
                <w:rFonts w:hint="default" w:ascii="宋体" w:hAnsi="宋体" w:eastAsia="宋体"/>
                <w:b w:val="0"/>
                <w:i w:val="0"/>
                <w:snapToGrid/>
                <w:color w:val="000000"/>
                <w:sz w:val="24"/>
                <w:u w:val="none"/>
                <w:lang w:eastAsia="zh-CN"/>
              </w:rPr>
              <w:t>等</w:t>
            </w:r>
            <w:r>
              <w:rPr>
                <w:rFonts w:hint="eastAsia" w:ascii="宋体" w:hAnsi="宋体" w:eastAsia="宋体"/>
                <w:b w:val="0"/>
                <w:i w:val="0"/>
                <w:snapToGrid/>
                <w:color w:val="000000"/>
                <w:sz w:val="24"/>
                <w:u w:val="none"/>
                <w:lang w:eastAsia="zh-CN"/>
              </w:rPr>
              <w:t>单位</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1"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r>
              <w:rPr>
                <w:rFonts w:hint="eastAsia" w:ascii="宋体" w:hAnsi="宋体" w:eastAsia="宋体"/>
                <w:b w:val="0"/>
                <w:i w:val="0"/>
                <w:snapToGrid/>
                <w:color w:val="000000"/>
                <w:sz w:val="24"/>
                <w:u w:val="none"/>
                <w:lang w:val="en-US" w:eastAsia="zh-CN"/>
              </w:rPr>
              <w:t>4</w:t>
            </w:r>
          </w:p>
        </w:tc>
        <w:tc>
          <w:tcPr>
            <w:tcW w:w="4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支持建筑企业“走出去”</w:t>
            </w:r>
            <w:r>
              <w:rPr>
                <w:rFonts w:hint="default" w:ascii="宋体" w:hAnsi="宋体" w:eastAsia="宋体"/>
                <w:b w:val="0"/>
                <w:i w:val="0"/>
                <w:snapToGrid/>
                <w:color w:val="000000"/>
                <w:sz w:val="24"/>
                <w:u w:val="none"/>
                <w:lang w:eastAsia="zh-CN"/>
              </w:rPr>
              <w:t>。</w:t>
            </w:r>
          </w:p>
        </w:tc>
        <w:tc>
          <w:tcPr>
            <w:tcW w:w="214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省商务厅、发展改革委、住房城乡建设厅、公安厅、外办、国资委、金融办</w:t>
            </w:r>
            <w:r>
              <w:rPr>
                <w:rFonts w:hint="eastAsia" w:ascii="宋体" w:hAnsi="宋体" w:eastAsia="宋体"/>
                <w:b w:val="0"/>
                <w:i w:val="0"/>
                <w:snapToGrid/>
                <w:color w:val="000000"/>
                <w:sz w:val="24"/>
                <w:u w:val="none"/>
                <w:lang w:eastAsia="zh-CN"/>
              </w:rPr>
              <w:t>，人民银行广州分行</w:t>
            </w:r>
            <w:r>
              <w:rPr>
                <w:rFonts w:hint="default" w:ascii="宋体" w:hAnsi="宋体" w:eastAsia="宋体"/>
                <w:b w:val="0"/>
                <w:i w:val="0"/>
                <w:snapToGrid/>
                <w:color w:val="000000"/>
                <w:sz w:val="24"/>
                <w:u w:val="none"/>
                <w:lang w:eastAsia="zh-CN"/>
              </w:rPr>
              <w:t>、海关广东分署等</w:t>
            </w:r>
            <w:r>
              <w:rPr>
                <w:rFonts w:hint="eastAsia" w:ascii="宋体" w:hAnsi="宋体" w:eastAsia="宋体"/>
                <w:b w:val="0"/>
                <w:i w:val="0"/>
                <w:snapToGrid/>
                <w:color w:val="000000"/>
                <w:sz w:val="24"/>
                <w:u w:val="none"/>
                <w:lang w:eastAsia="zh-CN"/>
              </w:rPr>
              <w:t>单位</w:t>
            </w:r>
          </w:p>
        </w:tc>
        <w:tc>
          <w:tcPr>
            <w:tcW w:w="28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持续实施。</w:t>
            </w:r>
          </w:p>
        </w:tc>
      </w:tr>
    </w:tbl>
    <w:p>
      <w:pPr>
        <w:wordWrap w:val="0"/>
        <w:jc w:val="both"/>
        <w:rPr>
          <w:rFonts w:hint="eastAsia"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p>
    <w:p>
      <w:pPr>
        <w:wordWrap w:val="0"/>
        <w:jc w:val="both"/>
        <w:rPr>
          <w:rFonts w:hint="eastAsia" w:ascii="仿宋" w:hAnsi="仿宋" w:eastAsia="仿宋"/>
          <w:sz w:val="28"/>
          <w:szCs w:val="28"/>
        </w:rPr>
      </w:pPr>
    </w:p>
    <w:p/>
    <w:sectPr>
      <w:pgSz w:w="11906" w:h="16838"/>
      <w:pgMar w:top="1644" w:right="1474" w:bottom="1418"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61275"/>
    <w:rsid w:val="2C452F11"/>
    <w:rsid w:val="491612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J\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2018-08-20T06:35:00Z</dcterms:created>
  <dc:creator>大王叫我来巡山。</dc:creator>
  <cp:lastModifiedBy>大王叫我来巡山。</cp:lastModifiedBy>
  <dcterms:modified xsi:type="dcterms:W3CDTF">2018-08-20T06:35:47Z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