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cs="Times New Roman" w:hAnsiTheme="minorEastAsia"/>
          <w:b/>
          <w:color w:val="000000" w:themeColor="text1"/>
          <w:sz w:val="36"/>
          <w:szCs w:val="36"/>
          <w14:textFill>
            <w14:solidFill>
              <w14:schemeClr w14:val="tx1"/>
            </w14:solidFill>
          </w14:textFill>
        </w:rPr>
      </w:pPr>
      <w:bookmarkStart w:id="0" w:name="_GoBack"/>
      <w:bookmarkEnd w:id="0"/>
      <w:r>
        <w:rPr>
          <w:rFonts w:ascii="Times New Roman" w:cs="Times New Roman" w:hAnsiTheme="minorEastAsia"/>
          <w:b/>
          <w:color w:val="000000" w:themeColor="text1"/>
          <w:sz w:val="36"/>
          <w:szCs w:val="36"/>
          <w14:textFill>
            <w14:solidFill>
              <w14:schemeClr w14:val="tx1"/>
            </w14:solidFill>
          </w14:textFill>
        </w:rPr>
        <w:t>绿色建筑创建行动方案</w:t>
      </w:r>
    </w:p>
    <w:p>
      <w:pPr>
        <w:adjustRightInd w:val="0"/>
        <w:snapToGrid w:val="0"/>
        <w:spacing w:line="360" w:lineRule="auto"/>
        <w:rPr>
          <w:rFonts w:ascii="Times New Roman" w:hAnsi="Times New Roman" w:eastAsia="仿宋" w:cs="Times New Roman"/>
          <w:color w:val="000000" w:themeColor="text1"/>
          <w:sz w:val="30"/>
          <w:szCs w:val="30"/>
          <w14:textFill>
            <w14:solidFill>
              <w14:schemeClr w14:val="tx1"/>
            </w14:solidFill>
          </w14:textFill>
        </w:rPr>
      </w:pPr>
    </w:p>
    <w:p>
      <w:pPr>
        <w:spacing w:line="360" w:lineRule="auto"/>
        <w:ind w:firstLine="640" w:firstLineChars="200"/>
        <w:outlineLvl w:val="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为</w:t>
      </w:r>
      <w:r>
        <w:rPr>
          <w:rFonts w:hint="eastAsia" w:ascii="Times New Roman" w:hAnsi="Times New Roman" w:eastAsia="仿宋" w:cs="Times New Roman"/>
          <w:color w:val="000000" w:themeColor="text1"/>
          <w:sz w:val="32"/>
          <w:szCs w:val="32"/>
          <w14:textFill>
            <w14:solidFill>
              <w14:schemeClr w14:val="tx1"/>
            </w14:solidFill>
          </w14:textFill>
        </w:rPr>
        <w:t>全面</w:t>
      </w:r>
      <w:r>
        <w:rPr>
          <w:rFonts w:ascii="Times New Roman" w:hAnsi="Times New Roman" w:eastAsia="仿宋" w:cs="Times New Roman"/>
          <w:color w:val="000000" w:themeColor="text1"/>
          <w:sz w:val="32"/>
          <w:szCs w:val="32"/>
          <w14:textFill>
            <w14:solidFill>
              <w14:schemeClr w14:val="tx1"/>
            </w14:solidFill>
          </w14:textFill>
        </w:rPr>
        <w:t>贯彻党的十九大</w:t>
      </w:r>
      <w:r>
        <w:rPr>
          <w:rFonts w:hint="eastAsia" w:ascii="Times New Roman" w:hAnsi="Times New Roman" w:eastAsia="仿宋" w:cs="Times New Roman"/>
          <w:color w:val="000000" w:themeColor="text1"/>
          <w:sz w:val="32"/>
          <w:szCs w:val="32"/>
          <w14:textFill>
            <w14:solidFill>
              <w14:schemeClr w14:val="tx1"/>
            </w14:solidFill>
          </w14:textFill>
        </w:rPr>
        <w:t>和十九届二中、三中、四中全会</w:t>
      </w:r>
      <w:r>
        <w:rPr>
          <w:rFonts w:ascii="Times New Roman" w:hAnsi="Times New Roman" w:eastAsia="仿宋" w:cs="Times New Roman"/>
          <w:color w:val="000000" w:themeColor="text1"/>
          <w:sz w:val="32"/>
          <w:szCs w:val="32"/>
          <w14:textFill>
            <w14:solidFill>
              <w14:schemeClr w14:val="tx1"/>
            </w14:solidFill>
          </w14:textFill>
        </w:rPr>
        <w:t>精神，</w:t>
      </w:r>
      <w:r>
        <w:rPr>
          <w:rFonts w:hint="eastAsia" w:ascii="Times New Roman" w:hAnsi="Times New Roman" w:eastAsia="仿宋" w:cs="Times New Roman"/>
          <w:color w:val="000000" w:themeColor="text1"/>
          <w:sz w:val="32"/>
          <w:szCs w:val="32"/>
          <w14:textFill>
            <w14:solidFill>
              <w14:schemeClr w14:val="tx1"/>
            </w14:solidFill>
          </w14:textFill>
        </w:rPr>
        <w:t>深入贯彻习近平生态文明思想，</w:t>
      </w:r>
      <w:r>
        <w:rPr>
          <w:rFonts w:ascii="Times New Roman" w:hAnsi="Times New Roman" w:eastAsia="仿宋" w:cs="Times New Roman"/>
          <w:color w:val="000000" w:themeColor="text1"/>
          <w:sz w:val="32"/>
          <w:szCs w:val="32"/>
          <w14:textFill>
            <w14:solidFill>
              <w14:schemeClr w14:val="tx1"/>
            </w14:solidFill>
          </w14:textFill>
        </w:rPr>
        <w:t>按照《国家发展改革委关于印发</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绿色生活创建行动总体方案</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的通知》（发改环资〔2019〕1696号）要求，</w:t>
      </w:r>
      <w:r>
        <w:rPr>
          <w:rFonts w:hint="eastAsia" w:ascii="Times New Roman" w:hAnsi="Times New Roman" w:eastAsia="仿宋" w:cs="Times New Roman"/>
          <w:color w:val="000000" w:themeColor="text1"/>
          <w:sz w:val="32"/>
          <w:szCs w:val="32"/>
          <w14:textFill>
            <w14:solidFill>
              <w14:schemeClr w14:val="tx1"/>
            </w14:solidFill>
          </w14:textFill>
        </w:rPr>
        <w:t>推动绿色建筑高质量发展，</w:t>
      </w:r>
      <w:r>
        <w:rPr>
          <w:rFonts w:ascii="Times New Roman" w:hAnsi="Times New Roman" w:eastAsia="仿宋" w:cs="Times New Roman"/>
          <w:color w:val="000000" w:themeColor="text1"/>
          <w:sz w:val="32"/>
          <w:szCs w:val="32"/>
          <w14:textFill>
            <w14:solidFill>
              <w14:schemeClr w14:val="tx1"/>
            </w14:solidFill>
          </w14:textFill>
        </w:rPr>
        <w:t>制定本方案。</w:t>
      </w:r>
    </w:p>
    <w:p>
      <w:pPr>
        <w:spacing w:line="360" w:lineRule="auto"/>
        <w:ind w:firstLine="643" w:firstLineChars="200"/>
        <w:outlineLvl w:val="0"/>
        <w:rPr>
          <w:rFonts w:ascii="Times New Roman" w:hAnsi="Times New Roman" w:eastAsia="黑体" w:cs="Times New Roman"/>
          <w:b/>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一、</w:t>
      </w:r>
      <w:r>
        <w:rPr>
          <w:rFonts w:hint="eastAsia" w:ascii="Times New Roman" w:hAnsi="Times New Roman" w:eastAsia="黑体" w:cs="Times New Roman"/>
          <w:b/>
          <w:color w:val="000000" w:themeColor="text1"/>
          <w:sz w:val="32"/>
          <w:szCs w:val="32"/>
          <w14:textFill>
            <w14:solidFill>
              <w14:schemeClr w14:val="tx1"/>
            </w14:solidFill>
          </w14:textFill>
        </w:rPr>
        <w:t>创建对象</w:t>
      </w:r>
    </w:p>
    <w:p>
      <w:pPr>
        <w:spacing w:line="360" w:lineRule="auto"/>
        <w:ind w:firstLine="640" w:firstLineChars="200"/>
        <w:outlineLvl w:val="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绿色建筑创建行动以城镇建筑作为创建对象</w:t>
      </w:r>
      <w:r>
        <w:rPr>
          <w:rFonts w:hint="eastAsia" w:ascii="Times New Roman" w:hAnsi="Times New Roman" w:eastAsia="仿宋" w:cs="Times New Roman"/>
          <w:color w:val="000000" w:themeColor="text1"/>
          <w:sz w:val="32"/>
          <w:szCs w:val="32"/>
          <w14:textFill>
            <w14:solidFill>
              <w14:schemeClr w14:val="tx1"/>
            </w14:solidFill>
          </w14:textFill>
        </w:rPr>
        <w:t>。绿色建筑指</w:t>
      </w:r>
      <w:r>
        <w:rPr>
          <w:rFonts w:ascii="Times New Roman" w:hAnsi="Times New Roman" w:eastAsia="仿宋" w:cs="Times New Roman"/>
          <w:color w:val="000000" w:themeColor="text1"/>
          <w:sz w:val="32"/>
          <w:szCs w:val="32"/>
          <w14:textFill>
            <w14:solidFill>
              <w14:schemeClr w14:val="tx1"/>
            </w14:solidFill>
          </w14:textFill>
        </w:rPr>
        <w:t>在全</w:t>
      </w:r>
      <w:r>
        <w:rPr>
          <w:rFonts w:hint="eastAsia" w:ascii="Times New Roman" w:hAnsi="Times New Roman" w:eastAsia="仿宋" w:cs="Times New Roman"/>
          <w:color w:val="000000" w:themeColor="text1"/>
          <w:sz w:val="32"/>
          <w:szCs w:val="32"/>
          <w14:textFill>
            <w14:solidFill>
              <w14:schemeClr w14:val="tx1"/>
            </w14:solidFill>
          </w14:textFill>
        </w:rPr>
        <w:t>寿命期</w:t>
      </w:r>
      <w:r>
        <w:rPr>
          <w:rFonts w:ascii="Times New Roman" w:hAnsi="Times New Roman" w:eastAsia="仿宋" w:cs="Times New Roman"/>
          <w:color w:val="000000" w:themeColor="text1"/>
          <w:sz w:val="32"/>
          <w:szCs w:val="32"/>
          <w14:textFill>
            <w14:solidFill>
              <w14:schemeClr w14:val="tx1"/>
            </w14:solidFill>
          </w14:textFill>
        </w:rPr>
        <w:t>内节约资源、保护环境、减少污染，</w:t>
      </w:r>
      <w:r>
        <w:rPr>
          <w:rFonts w:hint="eastAsia" w:ascii="Times New Roman" w:hAnsi="Times New Roman" w:eastAsia="仿宋" w:cs="Times New Roman"/>
          <w:color w:val="000000" w:themeColor="text1"/>
          <w:sz w:val="32"/>
          <w:szCs w:val="32"/>
          <w14:textFill>
            <w14:solidFill>
              <w14:schemeClr w14:val="tx1"/>
            </w14:solidFill>
          </w14:textFill>
        </w:rPr>
        <w:t>为人们提供</w:t>
      </w:r>
      <w:r>
        <w:rPr>
          <w:rFonts w:ascii="Times New Roman" w:hAnsi="Times New Roman" w:eastAsia="仿宋" w:cs="Times New Roman"/>
          <w:color w:val="000000" w:themeColor="text1"/>
          <w:sz w:val="32"/>
          <w:szCs w:val="32"/>
          <w14:textFill>
            <w14:solidFill>
              <w14:schemeClr w14:val="tx1"/>
            </w14:solidFill>
          </w14:textFill>
        </w:rPr>
        <w:t>健康、适用、高效的使用空间，最大限度实现人与自然和谐共生的高质量建筑。</w:t>
      </w:r>
    </w:p>
    <w:p>
      <w:pPr>
        <w:spacing w:line="360" w:lineRule="auto"/>
        <w:ind w:firstLine="643" w:firstLineChars="200"/>
        <w:outlineLvl w:val="0"/>
        <w:rPr>
          <w:rFonts w:ascii="Times New Roman" w:hAnsi="Times New Roman" w:eastAsia="黑体" w:cs="Times New Roman"/>
          <w:b/>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二、创建目标</w:t>
      </w:r>
    </w:p>
    <w:p>
      <w:pPr>
        <w:spacing w:line="360" w:lineRule="auto"/>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到2022年，</w:t>
      </w:r>
      <w:r>
        <w:rPr>
          <w:rFonts w:hint="eastAsia" w:ascii="Times New Roman" w:hAnsi="Times New Roman" w:eastAsia="仿宋" w:cs="Times New Roman"/>
          <w:color w:val="000000" w:themeColor="text1"/>
          <w:sz w:val="32"/>
          <w:szCs w:val="32"/>
          <w14:textFill>
            <w14:solidFill>
              <w14:schemeClr w14:val="tx1"/>
            </w14:solidFill>
          </w14:textFill>
        </w:rPr>
        <w:t>当年</w:t>
      </w:r>
      <w:r>
        <w:rPr>
          <w:rFonts w:ascii="Times New Roman" w:hAnsi="Times New Roman" w:eastAsia="仿宋" w:cs="Times New Roman"/>
          <w:color w:val="000000" w:themeColor="text1"/>
          <w:sz w:val="32"/>
          <w:szCs w:val="32"/>
          <w14:textFill>
            <w14:solidFill>
              <w14:schemeClr w14:val="tx1"/>
            </w14:solidFill>
          </w14:textFill>
        </w:rPr>
        <w:t>城镇新建建筑中绿色建筑面积占比达到</w:t>
      </w:r>
      <w:r>
        <w:rPr>
          <w:rFonts w:hint="eastAsia" w:ascii="Times New Roman" w:hAnsi="Times New Roman" w:eastAsia="仿宋" w:cs="Times New Roman"/>
          <w:color w:val="000000" w:themeColor="text1"/>
          <w:sz w:val="32"/>
          <w:szCs w:val="32"/>
          <w14:textFill>
            <w14:solidFill>
              <w14:schemeClr w14:val="tx1"/>
            </w14:solidFill>
          </w14:textFill>
        </w:rPr>
        <w:t>7</w:t>
      </w:r>
      <w:r>
        <w:rPr>
          <w:rFonts w:ascii="Times New Roman" w:hAnsi="Times New Roman" w:eastAsia="仿宋" w:cs="Times New Roman"/>
          <w:color w:val="000000" w:themeColor="text1"/>
          <w:sz w:val="32"/>
          <w:szCs w:val="32"/>
          <w14:textFill>
            <w14:solidFill>
              <w14:schemeClr w14:val="tx1"/>
            </w14:solidFill>
          </w14:textFill>
        </w:rPr>
        <w:t>0%</w:t>
      </w:r>
      <w:r>
        <w:rPr>
          <w:rFonts w:hint="eastAsia" w:ascii="Times New Roman" w:hAnsi="Times New Roman" w:eastAsia="仿宋" w:cs="Times New Roman"/>
          <w:color w:val="000000" w:themeColor="text1"/>
          <w:sz w:val="32"/>
          <w:szCs w:val="32"/>
          <w14:textFill>
            <w14:solidFill>
              <w14:schemeClr w14:val="tx1"/>
            </w14:solidFill>
          </w14:textFill>
        </w:rPr>
        <w:t>，星级绿色建筑持续增加，既有建筑</w:t>
      </w:r>
      <w:r>
        <w:rPr>
          <w:rFonts w:hint="eastAsia" w:ascii="Times New Roman" w:hAnsi="Times New Roman" w:eastAsia="仿宋" w:cs="Times New Roman"/>
          <w:sz w:val="32"/>
          <w:szCs w:val="32"/>
        </w:rPr>
        <w:t>能效水平不断提高，住宅健康性能不断完善，装配化建造方式占比稳步提升，绿色建材应用进一步扩大，绿色住宅使用者监督全面推广，</w:t>
      </w:r>
      <w:r>
        <w:rPr>
          <w:rFonts w:ascii="Times New Roman" w:hAnsi="Times New Roman" w:eastAsia="仿宋" w:cs="Times New Roman"/>
          <w:color w:val="000000" w:themeColor="text1"/>
          <w:sz w:val="32"/>
          <w:szCs w:val="32"/>
          <w14:textFill>
            <w14:solidFill>
              <w14:schemeClr w14:val="tx1"/>
            </w14:solidFill>
          </w14:textFill>
        </w:rPr>
        <w:t>人民群众</w:t>
      </w:r>
      <w:r>
        <w:rPr>
          <w:rFonts w:hint="eastAsia" w:ascii="Times New Roman" w:hAnsi="Times New Roman" w:eastAsia="仿宋" w:cs="Times New Roman"/>
          <w:color w:val="000000" w:themeColor="text1"/>
          <w:sz w:val="32"/>
          <w:szCs w:val="32"/>
          <w14:textFill>
            <w14:solidFill>
              <w14:schemeClr w14:val="tx1"/>
            </w14:solidFill>
          </w14:textFill>
        </w:rPr>
        <w:t>积极</w:t>
      </w:r>
      <w:r>
        <w:rPr>
          <w:rFonts w:ascii="Times New Roman" w:hAnsi="Times New Roman" w:eastAsia="仿宋" w:cs="Times New Roman"/>
          <w:color w:val="000000" w:themeColor="text1"/>
          <w:sz w:val="32"/>
          <w:szCs w:val="32"/>
          <w14:textFill>
            <w14:solidFill>
              <w14:schemeClr w14:val="tx1"/>
            </w14:solidFill>
          </w14:textFill>
        </w:rPr>
        <w:t>参与绿色建筑创建活动，</w:t>
      </w:r>
      <w:r>
        <w:rPr>
          <w:rFonts w:hint="eastAsia" w:ascii="Times New Roman" w:hAnsi="Times New Roman" w:eastAsia="仿宋" w:cs="Times New Roman"/>
          <w:color w:val="000000" w:themeColor="text1"/>
          <w:sz w:val="32"/>
          <w:szCs w:val="32"/>
          <w14:textFill>
            <w14:solidFill>
              <w14:schemeClr w14:val="tx1"/>
            </w14:solidFill>
          </w14:textFill>
        </w:rPr>
        <w:t>形成崇尚</w:t>
      </w:r>
      <w:r>
        <w:rPr>
          <w:rFonts w:ascii="Times New Roman" w:hAnsi="Times New Roman" w:eastAsia="仿宋" w:cs="Times New Roman"/>
          <w:color w:val="000000" w:themeColor="text1"/>
          <w:sz w:val="32"/>
          <w:szCs w:val="32"/>
          <w14:textFill>
            <w14:solidFill>
              <w14:schemeClr w14:val="tx1"/>
            </w14:solidFill>
          </w14:textFill>
        </w:rPr>
        <w:t>绿色生活</w:t>
      </w:r>
      <w:r>
        <w:rPr>
          <w:rFonts w:hint="eastAsia" w:ascii="Times New Roman" w:hAnsi="Times New Roman" w:eastAsia="仿宋" w:cs="Times New Roman"/>
          <w:color w:val="000000" w:themeColor="text1"/>
          <w:sz w:val="32"/>
          <w:szCs w:val="32"/>
          <w14:textFill>
            <w14:solidFill>
              <w14:schemeClr w14:val="tx1"/>
            </w14:solidFill>
          </w14:textFill>
        </w:rPr>
        <w:t>的社会氛围</w:t>
      </w:r>
      <w:r>
        <w:rPr>
          <w:rFonts w:ascii="Times New Roman" w:hAnsi="Times New Roman" w:eastAsia="仿宋" w:cs="Times New Roman"/>
          <w:color w:val="000000" w:themeColor="text1"/>
          <w:sz w:val="32"/>
          <w:szCs w:val="32"/>
          <w14:textFill>
            <w14:solidFill>
              <w14:schemeClr w14:val="tx1"/>
            </w14:solidFill>
          </w14:textFill>
        </w:rPr>
        <w:t>。</w:t>
      </w:r>
    </w:p>
    <w:p>
      <w:pPr>
        <w:spacing w:line="360" w:lineRule="auto"/>
        <w:ind w:firstLine="643" w:firstLineChars="200"/>
        <w:outlineLvl w:val="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三、</w:t>
      </w:r>
      <w:r>
        <w:rPr>
          <w:rFonts w:hint="eastAsia" w:ascii="Times New Roman" w:hAnsi="Times New Roman" w:eastAsia="黑体" w:cs="Times New Roman"/>
          <w:b/>
          <w:color w:val="000000" w:themeColor="text1"/>
          <w:sz w:val="32"/>
          <w:szCs w:val="32"/>
          <w14:textFill>
            <w14:solidFill>
              <w14:schemeClr w14:val="tx1"/>
            </w14:solidFill>
          </w14:textFill>
        </w:rPr>
        <w:t>重点任务</w:t>
      </w:r>
    </w:p>
    <w:p>
      <w:pPr>
        <w:spacing w:line="360" w:lineRule="auto"/>
        <w:ind w:firstLine="643" w:firstLineChars="200"/>
        <w:outlineLvl w:val="0"/>
        <w:rPr>
          <w:rFonts w:ascii="仿宋" w:hAnsi="仿宋" w:eastAsia="仿宋" w:cs="仿宋_GB2312"/>
          <w:bCs/>
          <w:sz w:val="32"/>
          <w:szCs w:val="32"/>
        </w:rPr>
      </w:pPr>
      <w:r>
        <w:rPr>
          <w:rFonts w:hint="eastAsia" w:ascii="楷体" w:hAnsi="楷体" w:eastAsia="楷体" w:cs="楷体_GB2312"/>
          <w:b/>
          <w:sz w:val="32"/>
          <w:szCs w:val="32"/>
        </w:rPr>
        <w:t>（一）推动新建建筑全面实施绿色设计。</w:t>
      </w:r>
      <w:r>
        <w:rPr>
          <w:rFonts w:hint="eastAsia" w:ascii="仿宋" w:hAnsi="仿宋" w:eastAsia="仿宋" w:cs="仿宋_GB2312"/>
          <w:bCs/>
          <w:sz w:val="32"/>
          <w:szCs w:val="32"/>
        </w:rPr>
        <w:t>制修订相关标准，</w:t>
      </w:r>
      <w:r>
        <w:rPr>
          <w:rFonts w:ascii="仿宋" w:hAnsi="仿宋" w:eastAsia="仿宋" w:cs="仿宋_GB2312"/>
          <w:bCs/>
          <w:sz w:val="32"/>
          <w:szCs w:val="32"/>
        </w:rPr>
        <w:t>将绿色建筑基本要求</w:t>
      </w:r>
      <w:r>
        <w:rPr>
          <w:rFonts w:hint="eastAsia" w:ascii="仿宋" w:hAnsi="仿宋" w:eastAsia="仿宋" w:cs="仿宋_GB2312"/>
          <w:bCs/>
          <w:sz w:val="32"/>
          <w:szCs w:val="32"/>
        </w:rPr>
        <w:t>纳入工程建设强制规范，提高建筑建设底线控制水平。推动绿色建筑标准实施，</w:t>
      </w:r>
      <w:r>
        <w:rPr>
          <w:rFonts w:hint="eastAsia" w:ascii="Times New Roman" w:hAnsi="Times New Roman" w:eastAsia="仿宋" w:cs="Times New Roman"/>
          <w:bCs/>
          <w:color w:val="000000"/>
          <w:sz w:val="32"/>
          <w:szCs w:val="32"/>
        </w:rPr>
        <w:t>加强设计、施工和运行管理</w:t>
      </w:r>
      <w:r>
        <w:rPr>
          <w:rFonts w:hint="eastAsia" w:ascii="仿宋" w:hAnsi="仿宋" w:eastAsia="仿宋" w:cs="仿宋_GB2312"/>
          <w:bCs/>
          <w:sz w:val="32"/>
          <w:szCs w:val="32"/>
        </w:rPr>
        <w:t>。推动各地绿色建筑立法，明确各方主体责任，鼓励各地制定更高要求的绿色建筑强制性规范。</w:t>
      </w:r>
    </w:p>
    <w:p>
      <w:pPr>
        <w:widowControl/>
        <w:ind w:firstLine="643" w:firstLineChars="200"/>
        <w:rPr>
          <w:rFonts w:ascii="仿宋" w:hAnsi="仿宋" w:eastAsia="仿宋" w:cs="Times New Roman"/>
          <w:bCs/>
          <w:color w:val="000000" w:themeColor="text1"/>
          <w:sz w:val="32"/>
          <w:szCs w:val="32"/>
          <w14:textFill>
            <w14:solidFill>
              <w14:schemeClr w14:val="tx1"/>
            </w14:solidFill>
          </w14:textFill>
        </w:rPr>
      </w:pPr>
      <w:r>
        <w:rPr>
          <w:rFonts w:hint="eastAsia" w:ascii="楷体" w:hAnsi="楷体" w:eastAsia="楷体" w:cs="楷体_GB2312"/>
          <w:b/>
          <w:sz w:val="32"/>
          <w:szCs w:val="32"/>
        </w:rPr>
        <w:t>（二）完善星级绿色建筑标识制度。</w:t>
      </w:r>
      <w:r>
        <w:rPr>
          <w:rFonts w:hint="eastAsia" w:ascii="仿宋" w:hAnsi="仿宋" w:eastAsia="仿宋" w:cs="Times New Roman"/>
          <w:bCs/>
          <w:color w:val="000000" w:themeColor="text1"/>
          <w:sz w:val="32"/>
          <w:szCs w:val="32"/>
          <w14:textFill>
            <w14:solidFill>
              <w14:schemeClr w14:val="tx1"/>
            </w14:solidFill>
          </w14:textFill>
        </w:rPr>
        <w:t>根据国民经济和社会发展第十三个五年规划纲要、国务院办公厅《绿色建筑行动方案》（国办发</w:t>
      </w:r>
      <w:r>
        <w:rPr>
          <w:rFonts w:ascii="Times New Roman" w:hAnsi="Times New Roman" w:eastAsia="仿宋" w:cs="Times New Roman"/>
          <w:color w:val="000000" w:themeColor="text1"/>
          <w:sz w:val="32"/>
          <w:szCs w:val="32"/>
          <w14:textFill>
            <w14:solidFill>
              <w14:schemeClr w14:val="tx1"/>
            </w14:solidFill>
          </w14:textFill>
        </w:rPr>
        <w:t>〔201</w:t>
      </w:r>
      <w:r>
        <w:rPr>
          <w:rFonts w:hint="eastAsia" w:ascii="Times New Roman" w:hAnsi="Times New Roman" w:eastAsia="仿宋" w:cs="Times New Roman"/>
          <w:color w:val="000000" w:themeColor="text1"/>
          <w:sz w:val="32"/>
          <w:szCs w:val="32"/>
          <w14:textFill>
            <w14:solidFill>
              <w14:schemeClr w14:val="tx1"/>
            </w14:solidFill>
          </w14:textFill>
        </w:rPr>
        <w:t>3</w:t>
      </w:r>
      <w:r>
        <w:rPr>
          <w:rFonts w:ascii="Times New Roman" w:hAnsi="Times New Roman" w:eastAsia="仿宋" w:cs="Times New Roman"/>
          <w:color w:val="000000" w:themeColor="text1"/>
          <w:sz w:val="32"/>
          <w:szCs w:val="32"/>
          <w14:textFill>
            <w14:solidFill>
              <w14:schemeClr w14:val="tx1"/>
            </w14:solidFill>
          </w14:textFill>
        </w:rPr>
        <w:t>〕</w:t>
      </w:r>
      <w:r>
        <w:rPr>
          <w:rFonts w:ascii="仿宋" w:hAnsi="仿宋" w:eastAsia="仿宋" w:cs="Times New Roman"/>
          <w:bCs/>
          <w:color w:val="000000" w:themeColor="text1"/>
          <w:sz w:val="32"/>
          <w:szCs w:val="32"/>
          <w14:textFill>
            <w14:solidFill>
              <w14:schemeClr w14:val="tx1"/>
            </w14:solidFill>
          </w14:textFill>
        </w:rPr>
        <w:t>1</w:t>
      </w:r>
      <w:r>
        <w:rPr>
          <w:rFonts w:hint="eastAsia" w:ascii="仿宋" w:hAnsi="仿宋" w:eastAsia="仿宋" w:cs="Times New Roman"/>
          <w:bCs/>
          <w:color w:val="000000" w:themeColor="text1"/>
          <w:sz w:val="32"/>
          <w:szCs w:val="32"/>
          <w14:textFill>
            <w14:solidFill>
              <w14:schemeClr w14:val="tx1"/>
            </w14:solidFill>
          </w14:textFill>
        </w:rPr>
        <w:t>号）等相关规定，</w:t>
      </w:r>
      <w:r>
        <w:rPr>
          <w:rFonts w:hint="eastAsia" w:ascii="仿宋" w:hAnsi="仿宋" w:eastAsia="仿宋" w:cs="仿宋_GB2312"/>
          <w:bCs/>
          <w:sz w:val="32"/>
          <w:szCs w:val="32"/>
        </w:rPr>
        <w:t>规范绿色建筑标识管理，由住房和城乡建设部、省级政府住房和城乡建设部门、地市级政府住房和城乡建设部门分别授予三星、二星、一星绿色建筑标识。完善绿色建筑标识申报、审查、公示制度，统一全国认定标准和标识式样。建立标识撤销机制，对弄虚作假行为给予限期整改或直接撤销标识处理。建立全国绿色建筑标识管理平台，提高绿色建筑标识工作效率和水平。</w:t>
      </w:r>
    </w:p>
    <w:p>
      <w:pPr>
        <w:spacing w:line="360" w:lineRule="auto"/>
        <w:ind w:firstLine="643" w:firstLineChars="200"/>
        <w:outlineLvl w:val="0"/>
        <w:rPr>
          <w:rFonts w:ascii="仿宋" w:hAnsi="仿宋" w:eastAsia="仿宋" w:cs="仿宋_GB2312"/>
          <w:bCs/>
          <w:color w:val="000000" w:themeColor="text1"/>
          <w:sz w:val="32"/>
          <w:szCs w:val="32"/>
          <w14:textFill>
            <w14:solidFill>
              <w14:schemeClr w14:val="tx1"/>
            </w14:solidFill>
          </w14:textFill>
        </w:rPr>
      </w:pPr>
      <w:r>
        <w:rPr>
          <w:rFonts w:hint="eastAsia" w:ascii="楷体" w:hAnsi="楷体" w:eastAsia="楷体" w:cs="楷体_GB2312"/>
          <w:b/>
          <w:color w:val="000000" w:themeColor="text1"/>
          <w:sz w:val="32"/>
          <w:szCs w:val="32"/>
          <w14:textFill>
            <w14:solidFill>
              <w14:schemeClr w14:val="tx1"/>
            </w14:solidFill>
          </w14:textFill>
        </w:rPr>
        <w:t>（三）提升建筑能效水效水平。</w:t>
      </w:r>
      <w:r>
        <w:rPr>
          <w:rFonts w:hint="eastAsia" w:ascii="仿宋" w:hAnsi="仿宋" w:eastAsia="仿宋" w:cs="仿宋_GB2312"/>
          <w:bCs/>
          <w:color w:val="000000" w:themeColor="text1"/>
          <w:sz w:val="32"/>
          <w:szCs w:val="32"/>
          <w14:textFill>
            <w14:solidFill>
              <w14:schemeClr w14:val="tx1"/>
            </w14:solidFill>
          </w14:textFill>
        </w:rPr>
        <w:t>结合北方地区清洁取暖、城镇老旧小区改造、海绵城市建设等工作，推动既有居住建筑节能节水改造。开展公共建筑能效提升重点城市建设，</w:t>
      </w:r>
      <w:r>
        <w:rPr>
          <w:rFonts w:hint="eastAsia" w:ascii="仿宋" w:hAnsi="仿宋" w:eastAsia="仿宋" w:cs="仿宋_GB2312"/>
          <w:bCs/>
          <w:sz w:val="32"/>
          <w:szCs w:val="32"/>
        </w:rPr>
        <w:t>建立完善运行管理制度，</w:t>
      </w:r>
      <w:r>
        <w:rPr>
          <w:rFonts w:hint="eastAsia" w:ascii="仿宋" w:hAnsi="仿宋" w:eastAsia="仿宋" w:cs="仿宋_GB2312"/>
          <w:bCs/>
          <w:color w:val="000000" w:themeColor="text1"/>
          <w:sz w:val="32"/>
          <w:szCs w:val="32"/>
          <w14:textFill>
            <w14:solidFill>
              <w14:schemeClr w14:val="tx1"/>
            </w14:solidFill>
          </w14:textFill>
        </w:rPr>
        <w:t>推广合同能源管理与合同节水管理，推进公共建筑能耗统计、能源审计及能效公示。</w:t>
      </w:r>
      <w:r>
        <w:rPr>
          <w:rFonts w:hint="eastAsia" w:ascii="仿宋" w:hAnsi="仿宋" w:eastAsia="仿宋" w:cs="仿宋_GB2312"/>
          <w:bCs/>
          <w:sz w:val="32"/>
          <w:szCs w:val="32"/>
        </w:rPr>
        <w:t>鼓励各地因地制宜提高</w:t>
      </w:r>
      <w:r>
        <w:rPr>
          <w:rFonts w:hint="eastAsia" w:ascii="Times New Roman" w:hAnsi="Times New Roman" w:eastAsia="仿宋" w:cs="Times New Roman"/>
          <w:bCs/>
          <w:color w:val="000000"/>
          <w:sz w:val="32"/>
          <w:szCs w:val="32"/>
        </w:rPr>
        <w:t>政府投资公益性建筑和大型公共建筑绿色等级，</w:t>
      </w:r>
      <w:r>
        <w:rPr>
          <w:rFonts w:hint="eastAsia" w:ascii="仿宋" w:hAnsi="仿宋" w:eastAsia="仿宋" w:cs="仿宋_GB2312"/>
          <w:bCs/>
          <w:sz w:val="32"/>
          <w:szCs w:val="32"/>
        </w:rPr>
        <w:t>推动超低能耗建筑、近零能耗建筑发展，</w:t>
      </w:r>
      <w:r>
        <w:rPr>
          <w:rFonts w:hint="eastAsia" w:ascii="仿宋" w:hAnsi="仿宋" w:eastAsia="仿宋" w:cs="Times New Roman"/>
          <w:bCs/>
          <w:color w:val="000000"/>
          <w:sz w:val="32"/>
          <w:szCs w:val="32"/>
        </w:rPr>
        <w:t>推广</w:t>
      </w:r>
      <w:r>
        <w:rPr>
          <w:rFonts w:ascii="仿宋" w:hAnsi="仿宋" w:eastAsia="仿宋" w:cs="Times New Roman"/>
          <w:bCs/>
          <w:color w:val="000000"/>
          <w:sz w:val="32"/>
          <w:szCs w:val="32"/>
        </w:rPr>
        <w:t>可再生能源</w:t>
      </w:r>
      <w:r>
        <w:rPr>
          <w:rFonts w:hint="eastAsia" w:ascii="仿宋" w:hAnsi="仿宋" w:eastAsia="仿宋" w:cs="Times New Roman"/>
          <w:bCs/>
          <w:color w:val="000000"/>
          <w:sz w:val="32"/>
          <w:szCs w:val="32"/>
        </w:rPr>
        <w:t>应用和再生水利用。</w:t>
      </w:r>
    </w:p>
    <w:p>
      <w:pPr>
        <w:spacing w:line="360" w:lineRule="auto"/>
        <w:ind w:firstLine="643" w:firstLineChars="200"/>
        <w:outlineLvl w:val="0"/>
        <w:rPr>
          <w:rFonts w:ascii="仿宋" w:hAnsi="仿宋" w:eastAsia="仿宋" w:cs="仿宋_GB2312"/>
          <w:bCs/>
          <w:color w:val="000000" w:themeColor="text1"/>
          <w:sz w:val="32"/>
          <w:szCs w:val="32"/>
          <w14:textFill>
            <w14:solidFill>
              <w14:schemeClr w14:val="tx1"/>
            </w14:solidFill>
          </w14:textFill>
        </w:rPr>
      </w:pPr>
      <w:r>
        <w:rPr>
          <w:rFonts w:hint="eastAsia" w:ascii="楷体" w:hAnsi="楷体" w:eastAsia="楷体" w:cs="楷体_GB2312"/>
          <w:b/>
          <w:color w:val="000000" w:themeColor="text1"/>
          <w:sz w:val="32"/>
          <w:szCs w:val="32"/>
          <w14:textFill>
            <w14:solidFill>
              <w14:schemeClr w14:val="tx1"/>
            </w14:solidFill>
          </w14:textFill>
        </w:rPr>
        <w:t>（四）提高住宅健康性能。</w:t>
      </w:r>
      <w:r>
        <w:rPr>
          <w:rFonts w:hint="eastAsia" w:ascii="仿宋" w:hAnsi="仿宋" w:eastAsia="仿宋" w:cs="仿宋_GB2312"/>
          <w:bCs/>
          <w:color w:val="000000" w:themeColor="text1"/>
          <w:sz w:val="32"/>
          <w:szCs w:val="32"/>
          <w14:textFill>
            <w14:solidFill>
              <w14:schemeClr w14:val="tx1"/>
            </w14:solidFill>
          </w14:textFill>
        </w:rPr>
        <w:t>结合疫情防控和各地实际，完善实施住宅相关标准，提高建筑室内空气、水质、隔声等健康性能指标，提升建筑视觉和心理舒适性。推动一批住宅健康性能示范项目，强化住宅健康性能设计要求，严格竣工验收管理，推动绿色健康技术应用。</w:t>
      </w:r>
    </w:p>
    <w:p>
      <w:pPr>
        <w:spacing w:line="360" w:lineRule="auto"/>
        <w:ind w:firstLine="643" w:firstLineChars="200"/>
        <w:outlineLvl w:val="0"/>
        <w:rPr>
          <w:rFonts w:ascii="仿宋" w:hAnsi="仿宋" w:eastAsia="仿宋" w:cs="仿宋_GB2312"/>
          <w:bCs/>
          <w:color w:val="000000" w:themeColor="text1"/>
          <w:sz w:val="32"/>
          <w:szCs w:val="32"/>
          <w14:textFill>
            <w14:solidFill>
              <w14:schemeClr w14:val="tx1"/>
            </w14:solidFill>
          </w14:textFill>
        </w:rPr>
      </w:pPr>
      <w:r>
        <w:rPr>
          <w:rFonts w:hint="eastAsia" w:ascii="楷体" w:hAnsi="楷体" w:eastAsia="楷体" w:cs="楷体_GB2312"/>
          <w:b/>
          <w:color w:val="000000" w:themeColor="text1"/>
          <w:sz w:val="32"/>
          <w:szCs w:val="32"/>
          <w14:textFill>
            <w14:solidFill>
              <w14:schemeClr w14:val="tx1"/>
            </w14:solidFill>
          </w14:textFill>
        </w:rPr>
        <w:t>（五）推广装配化建造方式。</w:t>
      </w:r>
      <w:r>
        <w:rPr>
          <w:rFonts w:hint="eastAsia" w:ascii="仿宋" w:hAnsi="仿宋" w:eastAsia="仿宋" w:cs="仿宋_GB2312"/>
          <w:bCs/>
          <w:color w:val="000000" w:themeColor="text1"/>
          <w:sz w:val="32"/>
          <w:szCs w:val="32"/>
          <w14:textFill>
            <w14:solidFill>
              <w14:schemeClr w14:val="tx1"/>
            </w14:solidFill>
          </w14:textFill>
        </w:rPr>
        <w:t>大力发展钢结构等装配式建筑，</w:t>
      </w:r>
      <w:r>
        <w:rPr>
          <w:rFonts w:ascii="仿宋" w:hAnsi="仿宋" w:eastAsia="仿宋" w:cs="仿宋_GB2312"/>
          <w:bCs/>
          <w:color w:val="000000" w:themeColor="text1"/>
          <w:sz w:val="32"/>
          <w:szCs w:val="32"/>
          <w14:textFill>
            <w14:solidFill>
              <w14:schemeClr w14:val="tx1"/>
            </w14:solidFill>
          </w14:textFill>
        </w:rPr>
        <w:t>新建</w:t>
      </w:r>
      <w:r>
        <w:rPr>
          <w:rFonts w:hint="eastAsia" w:ascii="仿宋" w:hAnsi="仿宋" w:eastAsia="仿宋" w:cs="仿宋_GB2312"/>
          <w:bCs/>
          <w:color w:val="000000" w:themeColor="text1"/>
          <w:sz w:val="32"/>
          <w:szCs w:val="32"/>
          <w14:textFill>
            <w14:solidFill>
              <w14:schemeClr w14:val="tx1"/>
            </w14:solidFill>
          </w14:textFill>
        </w:rPr>
        <w:t>公共建筑原则上采用钢结构。编制钢结构装配式住宅常用构件尺寸指南，强化设计要求，规范构件选型，提高装配式建筑构配件标准化水平。推动装配式装修。打造装配式建筑产业基地，提升建造水平。</w:t>
      </w:r>
    </w:p>
    <w:p>
      <w:pPr>
        <w:spacing w:line="360" w:lineRule="auto"/>
        <w:ind w:firstLine="643" w:firstLineChars="200"/>
        <w:outlineLvl w:val="0"/>
        <w:rPr>
          <w:rFonts w:ascii="仿宋" w:hAnsi="仿宋" w:eastAsia="仿宋" w:cs="仿宋_GB2312"/>
          <w:bCs/>
          <w:color w:val="000000" w:themeColor="text1"/>
          <w:sz w:val="32"/>
          <w:szCs w:val="32"/>
          <w14:textFill>
            <w14:solidFill>
              <w14:schemeClr w14:val="tx1"/>
            </w14:solidFill>
          </w14:textFill>
        </w:rPr>
      </w:pPr>
      <w:r>
        <w:rPr>
          <w:rFonts w:hint="eastAsia" w:ascii="楷体" w:hAnsi="楷体" w:eastAsia="楷体" w:cs="楷体_GB2312"/>
          <w:b/>
          <w:color w:val="000000" w:themeColor="text1"/>
          <w:sz w:val="32"/>
          <w:szCs w:val="32"/>
          <w14:textFill>
            <w14:solidFill>
              <w14:schemeClr w14:val="tx1"/>
            </w14:solidFill>
          </w14:textFill>
        </w:rPr>
        <w:t>（六）推动绿色建材应用。</w:t>
      </w:r>
      <w:r>
        <w:rPr>
          <w:rFonts w:hint="eastAsia" w:ascii="仿宋" w:hAnsi="仿宋" w:eastAsia="仿宋" w:cs="仿宋_GB2312"/>
          <w:bCs/>
          <w:color w:val="000000" w:themeColor="text1"/>
          <w:sz w:val="32"/>
          <w:szCs w:val="32"/>
          <w14:textFill>
            <w14:solidFill>
              <w14:schemeClr w14:val="tx1"/>
            </w14:solidFill>
          </w14:textFill>
        </w:rPr>
        <w:t>加快推进绿色建材评价认证和推广应用，建立绿色建材采信机制，推动建材产品质量提升。指导各地制定绿色建材推广应用政策措施，推动政府投资工程率先采用绿色建材，逐步提高城镇新建建筑中绿色建材应用比例。打造一批绿色建材应用示范工程，大力发展新型绿色建材。</w:t>
      </w:r>
    </w:p>
    <w:p>
      <w:pPr>
        <w:spacing w:line="360" w:lineRule="auto"/>
        <w:ind w:firstLine="643" w:firstLineChars="200"/>
        <w:outlineLvl w:val="0"/>
        <w:rPr>
          <w:rFonts w:ascii="仿宋" w:hAnsi="仿宋" w:eastAsia="仿宋" w:cs="楷体_GB2312"/>
          <w:bCs/>
          <w:sz w:val="32"/>
          <w:szCs w:val="32"/>
        </w:rPr>
      </w:pPr>
      <w:r>
        <w:rPr>
          <w:rFonts w:hint="eastAsia" w:ascii="楷体" w:hAnsi="楷体" w:eastAsia="楷体" w:cs="楷体_GB2312"/>
          <w:b/>
          <w:sz w:val="32"/>
          <w:szCs w:val="32"/>
        </w:rPr>
        <w:t>（七）加强技术研发推广。</w:t>
      </w:r>
      <w:r>
        <w:rPr>
          <w:rFonts w:hint="eastAsia" w:ascii="仿宋" w:hAnsi="仿宋" w:eastAsia="仿宋" w:cs="楷体_GB2312"/>
          <w:bCs/>
          <w:sz w:val="32"/>
          <w:szCs w:val="32"/>
        </w:rPr>
        <w:t>加强绿色建筑科技研发，建立部省科技成果库，促进科技成果转化。积极探索5G、物联网、人工智能、建筑机器人等新技术在工程建设领域的应用，</w:t>
      </w:r>
      <w:r>
        <w:rPr>
          <w:rFonts w:hint="eastAsia" w:ascii="仿宋" w:hAnsi="仿宋" w:eastAsia="仿宋" w:cs="仿宋_GB2312"/>
          <w:bCs/>
          <w:color w:val="000000" w:themeColor="text1"/>
          <w:sz w:val="32"/>
          <w:szCs w:val="32"/>
          <w14:textFill>
            <w14:solidFill>
              <w14:schemeClr w14:val="tx1"/>
            </w14:solidFill>
          </w14:textFill>
        </w:rPr>
        <w:t>推动绿色建造与新技术融合发展。</w:t>
      </w:r>
      <w:r>
        <w:rPr>
          <w:rFonts w:hint="eastAsia" w:ascii="仿宋" w:hAnsi="仿宋" w:eastAsia="仿宋" w:cs="楷体_GB2312"/>
          <w:bCs/>
          <w:sz w:val="32"/>
          <w:szCs w:val="32"/>
        </w:rPr>
        <w:t>结合住房和城乡建设部科学技术计划和绿色建筑创新奖，推动绿色建筑新技术应用。</w:t>
      </w:r>
    </w:p>
    <w:p>
      <w:pPr>
        <w:spacing w:line="360" w:lineRule="auto"/>
        <w:ind w:firstLine="643" w:firstLineChars="200"/>
        <w:outlineLvl w:val="0"/>
        <w:rPr>
          <w:rFonts w:ascii="仿宋_GB2312" w:hAnsi="仿宋_GB2312" w:eastAsia="仿宋_GB2312" w:cs="仿宋_GB2312"/>
          <w:bCs/>
          <w:color w:val="000000" w:themeColor="text1"/>
          <w:sz w:val="32"/>
          <w:szCs w:val="32"/>
          <w14:textFill>
            <w14:solidFill>
              <w14:schemeClr w14:val="tx1"/>
            </w14:solidFill>
          </w14:textFill>
        </w:rPr>
      </w:pPr>
      <w:r>
        <w:rPr>
          <w:rFonts w:hint="eastAsia" w:ascii="楷体" w:hAnsi="楷体" w:eastAsia="楷体" w:cs="仿宋_GB2312"/>
          <w:b/>
          <w:color w:val="000000" w:themeColor="text1"/>
          <w:sz w:val="32"/>
          <w:szCs w:val="32"/>
          <w14:textFill>
            <w14:solidFill>
              <w14:schemeClr w14:val="tx1"/>
            </w14:solidFill>
          </w14:textFill>
        </w:rPr>
        <w:t>（八）建立绿色住宅使用者监督机制。</w:t>
      </w:r>
      <w:r>
        <w:rPr>
          <w:rFonts w:hint="eastAsia" w:ascii="仿宋" w:hAnsi="仿宋" w:eastAsia="仿宋" w:cs="仿宋_GB2312"/>
          <w:bCs/>
          <w:color w:val="000000" w:themeColor="text1"/>
          <w:sz w:val="32"/>
          <w:szCs w:val="32"/>
          <w14:textFill>
            <w14:solidFill>
              <w14:schemeClr w14:val="tx1"/>
            </w14:solidFill>
          </w14:textFill>
        </w:rPr>
        <w:t>制定《绿色住宅购房人验房指南》，向购房人提供房屋绿色性能和全装修质量验收方法，引导绿色住宅开发建设单位配合购房人做好验房工作。鼓励各地将</w:t>
      </w:r>
      <w:r>
        <w:rPr>
          <w:rFonts w:hint="eastAsia" w:ascii="仿宋" w:hAnsi="仿宋" w:eastAsia="仿宋"/>
          <w:sz w:val="32"/>
          <w:szCs w:val="32"/>
        </w:rPr>
        <w:t>住宅绿色性能和</w:t>
      </w:r>
      <w:r>
        <w:rPr>
          <w:rFonts w:ascii="仿宋" w:hAnsi="仿宋" w:eastAsia="仿宋"/>
          <w:sz w:val="32"/>
          <w:szCs w:val="32"/>
        </w:rPr>
        <w:t>全装修</w:t>
      </w:r>
      <w:r>
        <w:rPr>
          <w:rFonts w:hint="eastAsia" w:ascii="仿宋" w:hAnsi="仿宋" w:eastAsia="仿宋"/>
          <w:sz w:val="32"/>
          <w:szCs w:val="32"/>
        </w:rPr>
        <w:t>质量相关指标</w:t>
      </w:r>
      <w:r>
        <w:rPr>
          <w:rFonts w:hint="eastAsia" w:ascii="Times New Roman" w:hAnsi="Times New Roman" w:eastAsia="仿宋"/>
          <w:sz w:val="32"/>
          <w:szCs w:val="32"/>
        </w:rPr>
        <w:t>纳入</w:t>
      </w:r>
      <w:r>
        <w:rPr>
          <w:rFonts w:hint="eastAsia" w:ascii="仿宋" w:hAnsi="仿宋" w:eastAsia="仿宋"/>
          <w:sz w:val="32"/>
          <w:szCs w:val="32"/>
        </w:rPr>
        <w:t>商品房买卖合同、住宅质量保证书和住宅使用说明书，明确质量保修责任和纠纷处理方式。</w:t>
      </w:r>
    </w:p>
    <w:p>
      <w:pPr>
        <w:spacing w:line="360" w:lineRule="auto"/>
        <w:ind w:firstLine="643" w:firstLineChars="200"/>
        <w:outlineLvl w:val="0"/>
        <w:rPr>
          <w:rFonts w:ascii="Times New Roman" w:hAnsi="Times New Roman" w:eastAsia="黑体" w:cs="Times New Roman"/>
          <w:b/>
          <w:color w:val="000000"/>
          <w:sz w:val="32"/>
          <w:szCs w:val="32"/>
        </w:rPr>
      </w:pPr>
      <w:r>
        <w:rPr>
          <w:rFonts w:hint="eastAsia" w:ascii="Times New Roman" w:hAnsi="Times New Roman" w:eastAsia="黑体" w:cs="Times New Roman"/>
          <w:b/>
          <w:color w:val="000000"/>
          <w:sz w:val="32"/>
          <w:szCs w:val="32"/>
        </w:rPr>
        <w:t>四、组织实施</w:t>
      </w:r>
    </w:p>
    <w:p>
      <w:pPr>
        <w:spacing w:line="360" w:lineRule="auto"/>
        <w:ind w:firstLine="643" w:firstLineChars="200"/>
        <w:outlineLvl w:val="0"/>
        <w:rPr>
          <w:rFonts w:ascii="仿宋" w:hAnsi="仿宋" w:eastAsia="仿宋" w:cs="Times New Roman"/>
          <w:bCs/>
          <w:color w:val="000000"/>
          <w:sz w:val="32"/>
          <w:szCs w:val="32"/>
        </w:rPr>
      </w:pPr>
      <w:r>
        <w:rPr>
          <w:rFonts w:hint="eastAsia" w:ascii="楷体" w:hAnsi="楷体" w:eastAsia="楷体" w:cs="楷体"/>
          <w:b/>
          <w:color w:val="000000" w:themeColor="text1"/>
          <w:sz w:val="32"/>
          <w:szCs w:val="32"/>
          <w14:textFill>
            <w14:solidFill>
              <w14:schemeClr w14:val="tx1"/>
            </w14:solidFill>
          </w14:textFill>
        </w:rPr>
        <w:t>（一）加强组织领导。</w:t>
      </w:r>
      <w:r>
        <w:rPr>
          <w:rFonts w:ascii="仿宋" w:hAnsi="仿宋" w:eastAsia="仿宋" w:cs="Times New Roman"/>
          <w:bCs/>
          <w:color w:val="000000"/>
          <w:sz w:val="32"/>
          <w:szCs w:val="32"/>
        </w:rPr>
        <w:t>省</w:t>
      </w:r>
      <w:r>
        <w:rPr>
          <w:rFonts w:hint="eastAsia" w:ascii="仿宋" w:hAnsi="仿宋" w:eastAsia="仿宋" w:cs="Times New Roman"/>
          <w:bCs/>
          <w:color w:val="000000"/>
          <w:sz w:val="32"/>
          <w:szCs w:val="32"/>
        </w:rPr>
        <w:t>级政府</w:t>
      </w:r>
      <w:r>
        <w:rPr>
          <w:rFonts w:ascii="仿宋" w:hAnsi="仿宋" w:eastAsia="仿宋" w:cs="Times New Roman"/>
          <w:bCs/>
          <w:color w:val="000000"/>
          <w:sz w:val="32"/>
          <w:szCs w:val="32"/>
        </w:rPr>
        <w:t>住房</w:t>
      </w:r>
      <w:r>
        <w:rPr>
          <w:rFonts w:hint="eastAsia" w:ascii="仿宋" w:hAnsi="仿宋" w:eastAsia="仿宋" w:cs="Times New Roman"/>
          <w:bCs/>
          <w:color w:val="000000"/>
          <w:sz w:val="32"/>
          <w:szCs w:val="32"/>
        </w:rPr>
        <w:t>和</w:t>
      </w:r>
      <w:r>
        <w:rPr>
          <w:rFonts w:ascii="仿宋" w:hAnsi="仿宋" w:eastAsia="仿宋" w:cs="Times New Roman"/>
          <w:bCs/>
          <w:color w:val="000000"/>
          <w:sz w:val="32"/>
          <w:szCs w:val="32"/>
        </w:rPr>
        <w:t>城乡建设</w:t>
      </w:r>
      <w:r>
        <w:rPr>
          <w:rFonts w:hint="eastAsia" w:ascii="仿宋" w:hAnsi="仿宋" w:eastAsia="仿宋" w:cs="Times New Roman"/>
          <w:bCs/>
          <w:color w:val="000000"/>
          <w:sz w:val="32"/>
          <w:szCs w:val="32"/>
        </w:rPr>
        <w:t>、发展改革、</w:t>
      </w:r>
      <w:r>
        <w:rPr>
          <w:rFonts w:hint="eastAsia" w:ascii="仿宋" w:hAnsi="仿宋" w:eastAsia="仿宋" w:cs="Times New Roman"/>
          <w:color w:val="000000" w:themeColor="text1"/>
          <w:sz w:val="32"/>
          <w:szCs w:val="32"/>
          <w14:textFill>
            <w14:solidFill>
              <w14:schemeClr w14:val="tx1"/>
            </w14:solidFill>
          </w14:textFill>
        </w:rPr>
        <w:t>教育、工业和信息化、机关事务管理</w:t>
      </w:r>
      <w:r>
        <w:rPr>
          <w:rFonts w:hint="eastAsia" w:ascii="仿宋" w:hAnsi="仿宋" w:eastAsia="仿宋" w:cs="Times New Roman"/>
          <w:bCs/>
          <w:color w:val="000000"/>
          <w:sz w:val="32"/>
          <w:szCs w:val="32"/>
        </w:rPr>
        <w:t>等</w:t>
      </w:r>
      <w:r>
        <w:rPr>
          <w:rFonts w:ascii="仿宋" w:hAnsi="仿宋" w:eastAsia="仿宋" w:cs="Times New Roman"/>
          <w:bCs/>
          <w:color w:val="000000"/>
          <w:sz w:val="32"/>
          <w:szCs w:val="32"/>
        </w:rPr>
        <w:t>部门</w:t>
      </w:r>
      <w:r>
        <w:rPr>
          <w:rFonts w:hint="eastAsia" w:ascii="仿宋" w:hAnsi="仿宋" w:eastAsia="仿宋" w:cs="Times New Roman"/>
          <w:bCs/>
          <w:color w:val="000000"/>
          <w:sz w:val="32"/>
          <w:szCs w:val="32"/>
        </w:rPr>
        <w:t>，</w:t>
      </w:r>
      <w:r>
        <w:rPr>
          <w:rFonts w:ascii="仿宋" w:hAnsi="仿宋" w:eastAsia="仿宋" w:cs="Times New Roman"/>
          <w:bCs/>
          <w:color w:val="000000"/>
          <w:sz w:val="32"/>
          <w:szCs w:val="32"/>
        </w:rPr>
        <w:t>要</w:t>
      </w:r>
      <w:r>
        <w:rPr>
          <w:rFonts w:hint="eastAsia" w:ascii="仿宋" w:hAnsi="仿宋" w:eastAsia="仿宋" w:cs="Times New Roman"/>
          <w:bCs/>
          <w:color w:val="000000"/>
          <w:sz w:val="32"/>
          <w:szCs w:val="32"/>
        </w:rPr>
        <w:t>在各省（区、市）党委和政府直接指导下，认真落实</w:t>
      </w:r>
      <w:r>
        <w:rPr>
          <w:rFonts w:ascii="仿宋" w:hAnsi="仿宋" w:eastAsia="仿宋" w:cs="Times New Roman"/>
          <w:bCs/>
          <w:color w:val="000000"/>
          <w:sz w:val="32"/>
          <w:szCs w:val="32"/>
        </w:rPr>
        <w:t>绿色建筑</w:t>
      </w:r>
      <w:r>
        <w:rPr>
          <w:rFonts w:hint="eastAsia" w:ascii="仿宋" w:hAnsi="仿宋" w:eastAsia="仿宋" w:cs="Times New Roman"/>
          <w:bCs/>
          <w:color w:val="000000"/>
          <w:sz w:val="32"/>
          <w:szCs w:val="32"/>
        </w:rPr>
        <w:t>创</w:t>
      </w:r>
      <w:r>
        <w:rPr>
          <w:rFonts w:ascii="仿宋" w:hAnsi="仿宋" w:eastAsia="仿宋" w:cs="Times New Roman"/>
          <w:bCs/>
          <w:color w:val="000000"/>
          <w:sz w:val="32"/>
          <w:szCs w:val="32"/>
        </w:rPr>
        <w:t>建</w:t>
      </w:r>
      <w:r>
        <w:rPr>
          <w:rFonts w:hint="eastAsia" w:ascii="仿宋" w:hAnsi="仿宋" w:eastAsia="仿宋" w:cs="Times New Roman"/>
          <w:bCs/>
          <w:color w:val="000000"/>
          <w:sz w:val="32"/>
          <w:szCs w:val="32"/>
        </w:rPr>
        <w:t>行动方案</w:t>
      </w:r>
      <w:r>
        <w:rPr>
          <w:rFonts w:ascii="仿宋" w:hAnsi="仿宋" w:eastAsia="仿宋" w:cs="Times New Roman"/>
          <w:bCs/>
          <w:color w:val="000000"/>
          <w:sz w:val="32"/>
          <w:szCs w:val="32"/>
        </w:rPr>
        <w:t>，</w:t>
      </w:r>
      <w:r>
        <w:rPr>
          <w:rFonts w:hint="eastAsia" w:ascii="Times New Roman" w:hAnsi="Times New Roman" w:eastAsia="仿宋" w:cs="Times New Roman"/>
          <w:bCs/>
          <w:color w:val="000000"/>
          <w:sz w:val="32"/>
          <w:szCs w:val="32"/>
        </w:rPr>
        <w:t>制定本地区创建实施方案，</w:t>
      </w:r>
      <w:r>
        <w:rPr>
          <w:rFonts w:ascii="仿宋" w:hAnsi="仿宋" w:eastAsia="仿宋" w:cs="Times New Roman"/>
          <w:bCs/>
          <w:color w:val="000000"/>
          <w:sz w:val="32"/>
          <w:szCs w:val="32"/>
        </w:rPr>
        <w:t>细化</w:t>
      </w:r>
      <w:r>
        <w:rPr>
          <w:rFonts w:hint="eastAsia" w:ascii="仿宋" w:hAnsi="仿宋" w:eastAsia="仿宋" w:cs="Times New Roman"/>
          <w:bCs/>
          <w:color w:val="000000"/>
          <w:sz w:val="32"/>
          <w:szCs w:val="32"/>
        </w:rPr>
        <w:t>目标任务</w:t>
      </w:r>
      <w:r>
        <w:rPr>
          <w:rFonts w:ascii="仿宋" w:hAnsi="仿宋" w:eastAsia="仿宋" w:cs="Times New Roman"/>
          <w:bCs/>
          <w:color w:val="000000"/>
          <w:sz w:val="32"/>
          <w:szCs w:val="32"/>
        </w:rPr>
        <w:t>，落实支持政策，</w:t>
      </w:r>
      <w:r>
        <w:rPr>
          <w:rFonts w:hint="eastAsia" w:ascii="Times New Roman" w:hAnsi="Times New Roman" w:eastAsia="仿宋" w:cs="Times New Roman"/>
          <w:bCs/>
          <w:color w:val="000000"/>
          <w:sz w:val="32"/>
          <w:szCs w:val="32"/>
        </w:rPr>
        <w:t>指导市、县编制绿色建筑创建行动实施计划，确保创建工作落实到位。</w:t>
      </w:r>
      <w:r>
        <w:rPr>
          <w:rFonts w:hint="eastAsia" w:ascii="仿宋" w:hAnsi="仿宋" w:eastAsia="仿宋" w:cs="Times New Roman"/>
          <w:bCs/>
          <w:color w:val="000000"/>
          <w:sz w:val="32"/>
          <w:szCs w:val="32"/>
        </w:rPr>
        <w:t>各省（区、市）和新疆生产建设兵团住房和城乡建设部门</w:t>
      </w:r>
      <w:r>
        <w:rPr>
          <w:rFonts w:hint="eastAsia" w:ascii="Times New Roman" w:hAnsi="Times New Roman" w:eastAsia="仿宋" w:cs="Times New Roman"/>
          <w:bCs/>
          <w:color w:val="000000"/>
          <w:sz w:val="32"/>
          <w:szCs w:val="32"/>
        </w:rPr>
        <w:t>应于</w:t>
      </w:r>
      <w:r>
        <w:rPr>
          <w:rFonts w:ascii="Times New Roman" w:hAnsi="Times New Roman" w:eastAsia="仿宋" w:cs="Times New Roman"/>
          <w:bCs/>
          <w:color w:val="000000"/>
          <w:sz w:val="32"/>
          <w:szCs w:val="32"/>
        </w:rPr>
        <w:t>2020</w:t>
      </w:r>
      <w:r>
        <w:rPr>
          <w:rFonts w:hint="eastAsia" w:ascii="Times New Roman" w:hAnsi="Times New Roman" w:eastAsia="仿宋" w:cs="Times New Roman"/>
          <w:bCs/>
          <w:color w:val="000000"/>
          <w:sz w:val="32"/>
          <w:szCs w:val="32"/>
        </w:rPr>
        <w:t>年8月底前将本地区绿色建筑创建行动实施方案报住房和城乡建设部。</w:t>
      </w:r>
    </w:p>
    <w:p>
      <w:pPr>
        <w:spacing w:line="360" w:lineRule="auto"/>
        <w:ind w:firstLine="643" w:firstLineChars="200"/>
        <w:outlineLvl w:val="0"/>
        <w:rPr>
          <w:rFonts w:ascii="Times New Roman" w:hAnsi="Times New Roman" w:eastAsia="仿宋" w:cs="Times New Roman"/>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（二）加强财政金融支持。</w:t>
      </w:r>
      <w:r>
        <w:rPr>
          <w:rFonts w:hint="eastAsia" w:ascii="Times New Roman" w:hAnsi="Times New Roman" w:eastAsia="仿宋" w:cs="Times New Roman"/>
          <w:sz w:val="32"/>
          <w:szCs w:val="32"/>
        </w:rPr>
        <w:t>各地住房和城乡建设部门要加强与财政部门沟通，争取资金支持。各地要积极完善绿色金融支持绿色建筑的政策环境，推动绿色金融支持绿色建筑发展，用好国家绿色发展基金</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 w:cs="Times New Roman"/>
          <w:bCs/>
          <w:color w:val="000000"/>
          <w:sz w:val="32"/>
          <w:szCs w:val="32"/>
        </w:rPr>
        <w:t>鼓励采用政府和社会资本合作（</w:t>
      </w:r>
      <w:r>
        <w:rPr>
          <w:rFonts w:ascii="Times New Roman" w:hAnsi="Times New Roman" w:eastAsia="仿宋" w:cs="Times New Roman"/>
          <w:bCs/>
          <w:color w:val="000000"/>
          <w:sz w:val="32"/>
          <w:szCs w:val="32"/>
        </w:rPr>
        <w:t>PPP</w:t>
      </w:r>
      <w:r>
        <w:rPr>
          <w:rFonts w:hint="eastAsia" w:ascii="Times New Roman" w:hAnsi="Times New Roman" w:eastAsia="仿宋" w:cs="Times New Roman"/>
          <w:bCs/>
          <w:color w:val="000000"/>
          <w:sz w:val="32"/>
          <w:szCs w:val="32"/>
        </w:rPr>
        <w:t>）</w:t>
      </w:r>
      <w:r>
        <w:rPr>
          <w:rFonts w:hint="eastAsia" w:ascii="Times New Roman" w:hAnsi="Times New Roman" w:eastAsia="仿宋" w:cs="Times New Roman"/>
          <w:color w:val="000000" w:themeColor="text1"/>
          <w:sz w:val="32"/>
          <w:szCs w:val="32"/>
          <w14:textFill>
            <w14:solidFill>
              <w14:schemeClr w14:val="tx1"/>
            </w14:solidFill>
          </w14:textFill>
        </w:rPr>
        <w:t>等方式推进创建工作。</w:t>
      </w:r>
    </w:p>
    <w:p>
      <w:pPr>
        <w:spacing w:line="360" w:lineRule="auto"/>
        <w:ind w:firstLine="643" w:firstLineChars="200"/>
        <w:outlineLvl w:val="0"/>
        <w:rPr>
          <w:rFonts w:ascii="Times New Roman" w:hAnsi="Times New Roman" w:eastAsia="仿宋" w:cs="Times New Roman"/>
          <w:bCs/>
          <w:color w:val="000000"/>
          <w:sz w:val="32"/>
          <w:szCs w:val="32"/>
        </w:rPr>
      </w:pPr>
      <w:r>
        <w:rPr>
          <w:rFonts w:hint="eastAsia" w:ascii="楷体" w:hAnsi="楷体" w:eastAsia="楷体" w:cs="楷体"/>
          <w:b/>
          <w:color w:val="000000" w:themeColor="text1"/>
          <w:sz w:val="32"/>
          <w:szCs w:val="32"/>
          <w14:textFill>
            <w14:solidFill>
              <w14:schemeClr w14:val="tx1"/>
            </w14:solidFill>
          </w14:textFill>
        </w:rPr>
        <w:t>（三）强化绩效评价。</w:t>
      </w:r>
      <w:r>
        <w:rPr>
          <w:rFonts w:hint="eastAsia" w:ascii="Times New Roman" w:hAnsi="Times New Roman" w:eastAsia="仿宋" w:cs="Times New Roman"/>
          <w:bCs/>
          <w:color w:val="000000"/>
          <w:sz w:val="32"/>
          <w:szCs w:val="32"/>
        </w:rPr>
        <w:t>住房和城乡建设部会同相关部门按照本方案，对各省（区、市）和新疆生产建设兵团绿色建筑创建行动工作落实情况和取得的成效开展年度总结评估，及时推广先进经验和典型做法。省级政府住房和城乡建设等部门负责组织本地区绿色建筑创建成效评价，及时总结当年进展情况和成效，形成年度报告，并于每年</w:t>
      </w:r>
      <w:r>
        <w:rPr>
          <w:rFonts w:ascii="Times New Roman" w:hAnsi="Times New Roman" w:eastAsia="仿宋" w:cs="Times New Roman"/>
          <w:bCs/>
          <w:color w:val="000000"/>
          <w:sz w:val="32"/>
          <w:szCs w:val="32"/>
        </w:rPr>
        <w:t>11</w:t>
      </w:r>
      <w:r>
        <w:rPr>
          <w:rFonts w:hint="eastAsia" w:ascii="Times New Roman" w:hAnsi="Times New Roman" w:eastAsia="仿宋" w:cs="Times New Roman"/>
          <w:bCs/>
          <w:color w:val="000000"/>
          <w:sz w:val="32"/>
          <w:szCs w:val="32"/>
        </w:rPr>
        <w:t>月底前报住房和城乡建设部。</w:t>
      </w:r>
    </w:p>
    <w:p>
      <w:pPr>
        <w:spacing w:line="360" w:lineRule="auto"/>
        <w:ind w:firstLine="643" w:firstLineChars="200"/>
        <w:rPr>
          <w:rFonts w:ascii="仿宋" w:hAnsi="仿宋" w:eastAsia="仿宋" w:cs="Times New Roman"/>
          <w:color w:val="000000" w:themeColor="text1"/>
          <w:sz w:val="32"/>
          <w:szCs w:val="32"/>
          <w14:textFill>
            <w14:solidFill>
              <w14:schemeClr w14:val="tx1"/>
            </w14:solidFill>
          </w14:textFill>
        </w:rPr>
      </w:pPr>
      <w:r>
        <w:rPr>
          <w:rFonts w:hint="eastAsia" w:ascii="楷体" w:hAnsi="楷体" w:eastAsia="楷体" w:cs="楷体"/>
          <w:b/>
          <w:color w:val="000000"/>
          <w:sz w:val="32"/>
          <w:szCs w:val="32"/>
        </w:rPr>
        <w:t>（四）</w:t>
      </w:r>
      <w:r>
        <w:rPr>
          <w:rFonts w:hint="eastAsia" w:ascii="楷体" w:hAnsi="楷体" w:eastAsia="楷体" w:cs="楷体"/>
          <w:b/>
          <w:color w:val="000000" w:themeColor="text1"/>
          <w:sz w:val="32"/>
          <w:szCs w:val="32"/>
          <w14:textFill>
            <w14:solidFill>
              <w14:schemeClr w14:val="tx1"/>
            </w14:solidFill>
          </w14:textFill>
        </w:rPr>
        <w:t>加大宣传推广力度。</w:t>
      </w:r>
      <w:r>
        <w:rPr>
          <w:rFonts w:hint="eastAsia" w:ascii="Times New Roman" w:hAnsi="Times New Roman" w:eastAsia="仿宋" w:cs="Times New Roman"/>
          <w:bCs/>
          <w:color w:val="000000" w:themeColor="text1"/>
          <w:sz w:val="32"/>
          <w:szCs w:val="32"/>
          <w14:textFill>
            <w14:solidFill>
              <w14:schemeClr w14:val="tx1"/>
            </w14:solidFill>
          </w14:textFill>
        </w:rPr>
        <w:t>各地</w:t>
      </w:r>
      <w:r>
        <w:rPr>
          <w:rFonts w:hint="eastAsia" w:ascii="Times New Roman" w:hAnsi="Times New Roman" w:eastAsia="仿宋" w:cs="Times New Roman"/>
          <w:color w:val="000000" w:themeColor="text1"/>
          <w:sz w:val="32"/>
          <w:szCs w:val="32"/>
          <w14:textFill>
            <w14:solidFill>
              <w14:schemeClr w14:val="tx1"/>
            </w14:solidFill>
          </w14:textFill>
        </w:rPr>
        <w:t>要组织多渠道、多种形式的宣传活动，普及绿色建筑知识，宣传先进经验和典型做法，</w:t>
      </w:r>
      <w:r>
        <w:rPr>
          <w:rFonts w:hint="eastAsia" w:ascii="仿宋" w:hAnsi="仿宋" w:eastAsia="仿宋" w:cs="仿宋_GB2312"/>
          <w:bCs/>
          <w:color w:val="000000" w:themeColor="text1"/>
          <w:sz w:val="32"/>
          <w:szCs w:val="32"/>
          <w14:textFill>
            <w14:solidFill>
              <w14:schemeClr w14:val="tx1"/>
            </w14:solidFill>
          </w14:textFill>
        </w:rPr>
        <w:t>引导群众用好各类绿色设施，</w:t>
      </w:r>
      <w:r>
        <w:rPr>
          <w:rFonts w:hint="eastAsia" w:ascii="仿宋" w:hAnsi="仿宋" w:eastAsia="仿宋" w:cs="Times New Roman"/>
          <w:color w:val="000000" w:themeColor="text1"/>
          <w:sz w:val="32"/>
          <w:szCs w:val="32"/>
          <w14:textFill>
            <w14:solidFill>
              <w14:schemeClr w14:val="tx1"/>
            </w14:solidFill>
          </w14:textFill>
        </w:rPr>
        <w:t>合理控制室内采暖空调温度，推动</w:t>
      </w:r>
      <w:r>
        <w:rPr>
          <w:rFonts w:hint="eastAsia" w:ascii="仿宋" w:hAnsi="仿宋" w:eastAsia="仿宋" w:cs="仿宋_GB2312"/>
          <w:bCs/>
          <w:color w:val="000000" w:themeColor="text1"/>
          <w:sz w:val="32"/>
          <w:szCs w:val="32"/>
          <w14:textFill>
            <w14:solidFill>
              <w14:schemeClr w14:val="tx1"/>
            </w14:solidFill>
          </w14:textFill>
        </w:rPr>
        <w:t>形成绿色生活方式</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sz w:val="32"/>
          <w:szCs w:val="32"/>
        </w:rPr>
        <w:t>发挥街道、社区等基层组织作用，积极组织群众参与，通过</w:t>
      </w:r>
      <w:r>
        <w:rPr>
          <w:rFonts w:hint="eastAsia" w:ascii="仿宋" w:hAnsi="仿宋" w:eastAsia="仿宋" w:cs="Times New Roman"/>
          <w:bCs/>
          <w:color w:val="000000" w:themeColor="text1"/>
          <w:sz w:val="32"/>
          <w:szCs w:val="32"/>
          <w14:textFill>
            <w14:solidFill>
              <w14:schemeClr w14:val="tx1"/>
            </w14:solidFill>
          </w14:textFill>
        </w:rPr>
        <w:t>共谋共建共管共评共享，</w:t>
      </w:r>
      <w:r>
        <w:rPr>
          <w:rFonts w:hint="eastAsia" w:ascii="仿宋" w:hAnsi="仿宋" w:eastAsia="仿宋" w:cs="Times New Roman"/>
          <w:color w:val="000000" w:themeColor="text1"/>
          <w:sz w:val="32"/>
          <w:szCs w:val="32"/>
          <w14:textFill>
            <w14:solidFill>
              <w14:schemeClr w14:val="tx1"/>
            </w14:solidFill>
          </w14:textFill>
        </w:rPr>
        <w:t>营造有利于绿色建筑创建的社会氛围。</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A"/>
    <w:rsid w:val="00001F02"/>
    <w:rsid w:val="00003F61"/>
    <w:rsid w:val="00006E6C"/>
    <w:rsid w:val="0001014E"/>
    <w:rsid w:val="00010883"/>
    <w:rsid w:val="00012626"/>
    <w:rsid w:val="00013299"/>
    <w:rsid w:val="000132FC"/>
    <w:rsid w:val="000134E6"/>
    <w:rsid w:val="0001700D"/>
    <w:rsid w:val="00022509"/>
    <w:rsid w:val="0002641A"/>
    <w:rsid w:val="0003342E"/>
    <w:rsid w:val="0003402F"/>
    <w:rsid w:val="00034705"/>
    <w:rsid w:val="00043256"/>
    <w:rsid w:val="00044169"/>
    <w:rsid w:val="000470F7"/>
    <w:rsid w:val="00047179"/>
    <w:rsid w:val="00053DE3"/>
    <w:rsid w:val="00055B42"/>
    <w:rsid w:val="00056CFA"/>
    <w:rsid w:val="00056D57"/>
    <w:rsid w:val="00057C33"/>
    <w:rsid w:val="00060925"/>
    <w:rsid w:val="000638E0"/>
    <w:rsid w:val="00064FB3"/>
    <w:rsid w:val="00067B08"/>
    <w:rsid w:val="00076A80"/>
    <w:rsid w:val="00080ECC"/>
    <w:rsid w:val="00090F26"/>
    <w:rsid w:val="00091F9E"/>
    <w:rsid w:val="00092D10"/>
    <w:rsid w:val="00095D62"/>
    <w:rsid w:val="00097E5A"/>
    <w:rsid w:val="000A7B1D"/>
    <w:rsid w:val="000B0327"/>
    <w:rsid w:val="000B06F2"/>
    <w:rsid w:val="000B2E4B"/>
    <w:rsid w:val="000B5BFC"/>
    <w:rsid w:val="000B6103"/>
    <w:rsid w:val="000D0F34"/>
    <w:rsid w:val="000D69F1"/>
    <w:rsid w:val="000D7258"/>
    <w:rsid w:val="000D7C52"/>
    <w:rsid w:val="000F15E3"/>
    <w:rsid w:val="000F1B2D"/>
    <w:rsid w:val="000F44A9"/>
    <w:rsid w:val="000F62BD"/>
    <w:rsid w:val="00103675"/>
    <w:rsid w:val="00105E24"/>
    <w:rsid w:val="0010661B"/>
    <w:rsid w:val="00107366"/>
    <w:rsid w:val="00111A29"/>
    <w:rsid w:val="001134B8"/>
    <w:rsid w:val="00114029"/>
    <w:rsid w:val="001156D7"/>
    <w:rsid w:val="00126EFB"/>
    <w:rsid w:val="00132810"/>
    <w:rsid w:val="001341A9"/>
    <w:rsid w:val="00137661"/>
    <w:rsid w:val="00141278"/>
    <w:rsid w:val="00142571"/>
    <w:rsid w:val="0014269C"/>
    <w:rsid w:val="00142F63"/>
    <w:rsid w:val="00143402"/>
    <w:rsid w:val="00143EE1"/>
    <w:rsid w:val="00144C9A"/>
    <w:rsid w:val="00146FE5"/>
    <w:rsid w:val="00147D76"/>
    <w:rsid w:val="00150D7D"/>
    <w:rsid w:val="001576A5"/>
    <w:rsid w:val="00160381"/>
    <w:rsid w:val="00160EB2"/>
    <w:rsid w:val="00162891"/>
    <w:rsid w:val="00164637"/>
    <w:rsid w:val="0016512B"/>
    <w:rsid w:val="00170421"/>
    <w:rsid w:val="00182280"/>
    <w:rsid w:val="0018434C"/>
    <w:rsid w:val="00187597"/>
    <w:rsid w:val="001936AC"/>
    <w:rsid w:val="001977E0"/>
    <w:rsid w:val="001A1A50"/>
    <w:rsid w:val="001A2239"/>
    <w:rsid w:val="001A7F0C"/>
    <w:rsid w:val="001B1DAA"/>
    <w:rsid w:val="001B361A"/>
    <w:rsid w:val="001B3C40"/>
    <w:rsid w:val="001B4695"/>
    <w:rsid w:val="001C1D98"/>
    <w:rsid w:val="001D1CF3"/>
    <w:rsid w:val="001D3337"/>
    <w:rsid w:val="001E289A"/>
    <w:rsid w:val="001E4DD0"/>
    <w:rsid w:val="001E5195"/>
    <w:rsid w:val="001F05E2"/>
    <w:rsid w:val="001F09A7"/>
    <w:rsid w:val="001F1AFB"/>
    <w:rsid w:val="001F2353"/>
    <w:rsid w:val="00202BBF"/>
    <w:rsid w:val="002045AA"/>
    <w:rsid w:val="00205E8A"/>
    <w:rsid w:val="0020635C"/>
    <w:rsid w:val="0020640A"/>
    <w:rsid w:val="00207698"/>
    <w:rsid w:val="00211D54"/>
    <w:rsid w:val="00217E68"/>
    <w:rsid w:val="00224B27"/>
    <w:rsid w:val="00226C2F"/>
    <w:rsid w:val="00234316"/>
    <w:rsid w:val="002366C8"/>
    <w:rsid w:val="00237A4C"/>
    <w:rsid w:val="00237D35"/>
    <w:rsid w:val="00242AB9"/>
    <w:rsid w:val="0024489E"/>
    <w:rsid w:val="00247E5D"/>
    <w:rsid w:val="00252B9F"/>
    <w:rsid w:val="00256FC5"/>
    <w:rsid w:val="0026211F"/>
    <w:rsid w:val="00262448"/>
    <w:rsid w:val="00264EC6"/>
    <w:rsid w:val="00265CDF"/>
    <w:rsid w:val="002777BB"/>
    <w:rsid w:val="0028351B"/>
    <w:rsid w:val="00284F2C"/>
    <w:rsid w:val="0028512E"/>
    <w:rsid w:val="00287417"/>
    <w:rsid w:val="00294E76"/>
    <w:rsid w:val="00295355"/>
    <w:rsid w:val="002964FD"/>
    <w:rsid w:val="00297208"/>
    <w:rsid w:val="00297C97"/>
    <w:rsid w:val="002A7127"/>
    <w:rsid w:val="002A77C4"/>
    <w:rsid w:val="002B37EB"/>
    <w:rsid w:val="002B680D"/>
    <w:rsid w:val="002B7F63"/>
    <w:rsid w:val="002C1816"/>
    <w:rsid w:val="002C1DC4"/>
    <w:rsid w:val="002C34F5"/>
    <w:rsid w:val="002C3A04"/>
    <w:rsid w:val="002C524A"/>
    <w:rsid w:val="002D1734"/>
    <w:rsid w:val="002D1A46"/>
    <w:rsid w:val="002D203C"/>
    <w:rsid w:val="002D40DA"/>
    <w:rsid w:val="002D547D"/>
    <w:rsid w:val="002D61A8"/>
    <w:rsid w:val="002E25AD"/>
    <w:rsid w:val="002E74D9"/>
    <w:rsid w:val="002F2A76"/>
    <w:rsid w:val="0030535D"/>
    <w:rsid w:val="00305550"/>
    <w:rsid w:val="00306023"/>
    <w:rsid w:val="0031231A"/>
    <w:rsid w:val="00313773"/>
    <w:rsid w:val="00313DFF"/>
    <w:rsid w:val="00315502"/>
    <w:rsid w:val="00323791"/>
    <w:rsid w:val="00331F7C"/>
    <w:rsid w:val="00334C28"/>
    <w:rsid w:val="00343CD9"/>
    <w:rsid w:val="003445D7"/>
    <w:rsid w:val="00353225"/>
    <w:rsid w:val="00353248"/>
    <w:rsid w:val="00354B7E"/>
    <w:rsid w:val="003554F7"/>
    <w:rsid w:val="00355E7F"/>
    <w:rsid w:val="00355F19"/>
    <w:rsid w:val="003626A4"/>
    <w:rsid w:val="00364923"/>
    <w:rsid w:val="00367CD1"/>
    <w:rsid w:val="00374B8C"/>
    <w:rsid w:val="00381E31"/>
    <w:rsid w:val="00385CDE"/>
    <w:rsid w:val="00391352"/>
    <w:rsid w:val="00391E61"/>
    <w:rsid w:val="003A01C5"/>
    <w:rsid w:val="003A19B5"/>
    <w:rsid w:val="003A1A72"/>
    <w:rsid w:val="003A1EE4"/>
    <w:rsid w:val="003A2BB4"/>
    <w:rsid w:val="003C1994"/>
    <w:rsid w:val="003C5008"/>
    <w:rsid w:val="003C61AC"/>
    <w:rsid w:val="003C7AB7"/>
    <w:rsid w:val="003C7FFE"/>
    <w:rsid w:val="003D49AD"/>
    <w:rsid w:val="003D5CC2"/>
    <w:rsid w:val="003D5E76"/>
    <w:rsid w:val="003E31EF"/>
    <w:rsid w:val="003E6F10"/>
    <w:rsid w:val="003F4981"/>
    <w:rsid w:val="003F5484"/>
    <w:rsid w:val="003F5632"/>
    <w:rsid w:val="003F7F5B"/>
    <w:rsid w:val="00400039"/>
    <w:rsid w:val="00403718"/>
    <w:rsid w:val="00406403"/>
    <w:rsid w:val="00410A21"/>
    <w:rsid w:val="00413552"/>
    <w:rsid w:val="00413583"/>
    <w:rsid w:val="00415AA4"/>
    <w:rsid w:val="00416007"/>
    <w:rsid w:val="00421395"/>
    <w:rsid w:val="004214BA"/>
    <w:rsid w:val="00423274"/>
    <w:rsid w:val="004240FE"/>
    <w:rsid w:val="00425B82"/>
    <w:rsid w:val="004270AC"/>
    <w:rsid w:val="0042717A"/>
    <w:rsid w:val="00427F37"/>
    <w:rsid w:val="00430D2E"/>
    <w:rsid w:val="00433E9A"/>
    <w:rsid w:val="00435FBC"/>
    <w:rsid w:val="00440964"/>
    <w:rsid w:val="00443397"/>
    <w:rsid w:val="00444F1B"/>
    <w:rsid w:val="00445CA3"/>
    <w:rsid w:val="00453436"/>
    <w:rsid w:val="00453B58"/>
    <w:rsid w:val="00456A8D"/>
    <w:rsid w:val="00460EC0"/>
    <w:rsid w:val="00462BB6"/>
    <w:rsid w:val="00462DF9"/>
    <w:rsid w:val="00463D2D"/>
    <w:rsid w:val="0046688E"/>
    <w:rsid w:val="00474BFE"/>
    <w:rsid w:val="0047567A"/>
    <w:rsid w:val="00476910"/>
    <w:rsid w:val="004777EC"/>
    <w:rsid w:val="00477AFB"/>
    <w:rsid w:val="00480C9D"/>
    <w:rsid w:val="00486535"/>
    <w:rsid w:val="00486E15"/>
    <w:rsid w:val="00493DC5"/>
    <w:rsid w:val="00495D90"/>
    <w:rsid w:val="0049726D"/>
    <w:rsid w:val="004A4B80"/>
    <w:rsid w:val="004A79E9"/>
    <w:rsid w:val="004A7AED"/>
    <w:rsid w:val="004A7D76"/>
    <w:rsid w:val="004B178C"/>
    <w:rsid w:val="004B4ECD"/>
    <w:rsid w:val="004B5B7C"/>
    <w:rsid w:val="004C06C3"/>
    <w:rsid w:val="004C0F7B"/>
    <w:rsid w:val="004C2ADC"/>
    <w:rsid w:val="004D04F4"/>
    <w:rsid w:val="004D2472"/>
    <w:rsid w:val="004D27D3"/>
    <w:rsid w:val="004D2E76"/>
    <w:rsid w:val="004D3F77"/>
    <w:rsid w:val="004D7D62"/>
    <w:rsid w:val="004E10E3"/>
    <w:rsid w:val="004E29BE"/>
    <w:rsid w:val="004E4ED3"/>
    <w:rsid w:val="004E68BB"/>
    <w:rsid w:val="004E6CF3"/>
    <w:rsid w:val="004E728F"/>
    <w:rsid w:val="004F06D8"/>
    <w:rsid w:val="004F086B"/>
    <w:rsid w:val="004F3726"/>
    <w:rsid w:val="004F3A12"/>
    <w:rsid w:val="004F43F9"/>
    <w:rsid w:val="004F46F0"/>
    <w:rsid w:val="004F61E8"/>
    <w:rsid w:val="00502989"/>
    <w:rsid w:val="00504FF4"/>
    <w:rsid w:val="005059D6"/>
    <w:rsid w:val="00512BAE"/>
    <w:rsid w:val="0051491D"/>
    <w:rsid w:val="00517BBD"/>
    <w:rsid w:val="00522430"/>
    <w:rsid w:val="0052410A"/>
    <w:rsid w:val="00524AED"/>
    <w:rsid w:val="00525B47"/>
    <w:rsid w:val="00530819"/>
    <w:rsid w:val="00537409"/>
    <w:rsid w:val="0053779A"/>
    <w:rsid w:val="0054303F"/>
    <w:rsid w:val="00543ECE"/>
    <w:rsid w:val="00545F2D"/>
    <w:rsid w:val="00554100"/>
    <w:rsid w:val="00560C51"/>
    <w:rsid w:val="005616DE"/>
    <w:rsid w:val="00565EAA"/>
    <w:rsid w:val="00566895"/>
    <w:rsid w:val="00567CC6"/>
    <w:rsid w:val="00571014"/>
    <w:rsid w:val="00572484"/>
    <w:rsid w:val="005760D0"/>
    <w:rsid w:val="00582A79"/>
    <w:rsid w:val="00592CE9"/>
    <w:rsid w:val="005939A1"/>
    <w:rsid w:val="005A1F09"/>
    <w:rsid w:val="005A491A"/>
    <w:rsid w:val="005B0E4C"/>
    <w:rsid w:val="005B0F97"/>
    <w:rsid w:val="005B2AF0"/>
    <w:rsid w:val="005B3677"/>
    <w:rsid w:val="005B41D1"/>
    <w:rsid w:val="005B69DE"/>
    <w:rsid w:val="005C4B2E"/>
    <w:rsid w:val="005C6A47"/>
    <w:rsid w:val="005D2BB7"/>
    <w:rsid w:val="005D2C9F"/>
    <w:rsid w:val="005D6187"/>
    <w:rsid w:val="005D6F34"/>
    <w:rsid w:val="005D7A47"/>
    <w:rsid w:val="005E1C39"/>
    <w:rsid w:val="005E28FF"/>
    <w:rsid w:val="005E5B6E"/>
    <w:rsid w:val="005F00B6"/>
    <w:rsid w:val="00603870"/>
    <w:rsid w:val="00607186"/>
    <w:rsid w:val="0061593D"/>
    <w:rsid w:val="00616257"/>
    <w:rsid w:val="00617906"/>
    <w:rsid w:val="0062474F"/>
    <w:rsid w:val="00635DA3"/>
    <w:rsid w:val="00635DB9"/>
    <w:rsid w:val="006418C3"/>
    <w:rsid w:val="00641F84"/>
    <w:rsid w:val="00642651"/>
    <w:rsid w:val="0064364F"/>
    <w:rsid w:val="00646C93"/>
    <w:rsid w:val="0065051F"/>
    <w:rsid w:val="00661198"/>
    <w:rsid w:val="00661FF4"/>
    <w:rsid w:val="00662EA9"/>
    <w:rsid w:val="0066734C"/>
    <w:rsid w:val="00675A7A"/>
    <w:rsid w:val="00681078"/>
    <w:rsid w:val="0068207D"/>
    <w:rsid w:val="00694FAD"/>
    <w:rsid w:val="006A11AB"/>
    <w:rsid w:val="006B03FE"/>
    <w:rsid w:val="006D7AE9"/>
    <w:rsid w:val="006E0103"/>
    <w:rsid w:val="006E101D"/>
    <w:rsid w:val="006E25AC"/>
    <w:rsid w:val="006E34F2"/>
    <w:rsid w:val="006E5129"/>
    <w:rsid w:val="006F1A34"/>
    <w:rsid w:val="00704163"/>
    <w:rsid w:val="0070465C"/>
    <w:rsid w:val="007064CE"/>
    <w:rsid w:val="007118BE"/>
    <w:rsid w:val="00711AD7"/>
    <w:rsid w:val="00711D3F"/>
    <w:rsid w:val="00711DBD"/>
    <w:rsid w:val="0071543E"/>
    <w:rsid w:val="00722DE8"/>
    <w:rsid w:val="00722F62"/>
    <w:rsid w:val="007233D6"/>
    <w:rsid w:val="00725E76"/>
    <w:rsid w:val="007362DB"/>
    <w:rsid w:val="007518BE"/>
    <w:rsid w:val="00752C7F"/>
    <w:rsid w:val="00756C9B"/>
    <w:rsid w:val="00757956"/>
    <w:rsid w:val="007601A5"/>
    <w:rsid w:val="00760225"/>
    <w:rsid w:val="00761722"/>
    <w:rsid w:val="00762903"/>
    <w:rsid w:val="00763FF2"/>
    <w:rsid w:val="00765F58"/>
    <w:rsid w:val="00772ADE"/>
    <w:rsid w:val="00780272"/>
    <w:rsid w:val="007821E5"/>
    <w:rsid w:val="00782CEB"/>
    <w:rsid w:val="007874EC"/>
    <w:rsid w:val="007908C1"/>
    <w:rsid w:val="00790BDF"/>
    <w:rsid w:val="0079110B"/>
    <w:rsid w:val="00793586"/>
    <w:rsid w:val="007A0B85"/>
    <w:rsid w:val="007A5664"/>
    <w:rsid w:val="007A7AA2"/>
    <w:rsid w:val="007B0315"/>
    <w:rsid w:val="007B0A48"/>
    <w:rsid w:val="007B2A60"/>
    <w:rsid w:val="007B2AD4"/>
    <w:rsid w:val="007B319D"/>
    <w:rsid w:val="007C2C8C"/>
    <w:rsid w:val="007D0594"/>
    <w:rsid w:val="007D095D"/>
    <w:rsid w:val="007D4753"/>
    <w:rsid w:val="007D4783"/>
    <w:rsid w:val="007D6E83"/>
    <w:rsid w:val="007E0ADD"/>
    <w:rsid w:val="007E26A7"/>
    <w:rsid w:val="007E3B64"/>
    <w:rsid w:val="007E635E"/>
    <w:rsid w:val="007F52DB"/>
    <w:rsid w:val="007F691B"/>
    <w:rsid w:val="007F7A95"/>
    <w:rsid w:val="007F7C6A"/>
    <w:rsid w:val="008013D9"/>
    <w:rsid w:val="00805EC3"/>
    <w:rsid w:val="00812030"/>
    <w:rsid w:val="0082449D"/>
    <w:rsid w:val="008253EC"/>
    <w:rsid w:val="0082729C"/>
    <w:rsid w:val="008314AA"/>
    <w:rsid w:val="00834088"/>
    <w:rsid w:val="008357F3"/>
    <w:rsid w:val="00836C6D"/>
    <w:rsid w:val="008402D1"/>
    <w:rsid w:val="00840620"/>
    <w:rsid w:val="008409B6"/>
    <w:rsid w:val="008433D6"/>
    <w:rsid w:val="0084715D"/>
    <w:rsid w:val="008476A9"/>
    <w:rsid w:val="00850788"/>
    <w:rsid w:val="0085248A"/>
    <w:rsid w:val="0085397F"/>
    <w:rsid w:val="00855304"/>
    <w:rsid w:val="0085617E"/>
    <w:rsid w:val="00857B4B"/>
    <w:rsid w:val="00857FBC"/>
    <w:rsid w:val="0086623D"/>
    <w:rsid w:val="0087447F"/>
    <w:rsid w:val="00876354"/>
    <w:rsid w:val="00880FC1"/>
    <w:rsid w:val="00881FEF"/>
    <w:rsid w:val="008821DE"/>
    <w:rsid w:val="00882957"/>
    <w:rsid w:val="008922AC"/>
    <w:rsid w:val="008941CF"/>
    <w:rsid w:val="00897DE8"/>
    <w:rsid w:val="008A09FA"/>
    <w:rsid w:val="008A0BA5"/>
    <w:rsid w:val="008A588C"/>
    <w:rsid w:val="008A617F"/>
    <w:rsid w:val="008A632C"/>
    <w:rsid w:val="008A7663"/>
    <w:rsid w:val="008A7AF4"/>
    <w:rsid w:val="008B5C1D"/>
    <w:rsid w:val="008B7F0D"/>
    <w:rsid w:val="008C2039"/>
    <w:rsid w:val="008C419C"/>
    <w:rsid w:val="008C4E45"/>
    <w:rsid w:val="008C6726"/>
    <w:rsid w:val="008D0A91"/>
    <w:rsid w:val="008D1116"/>
    <w:rsid w:val="008D1293"/>
    <w:rsid w:val="008D288D"/>
    <w:rsid w:val="008D45D6"/>
    <w:rsid w:val="008D6989"/>
    <w:rsid w:val="008D783D"/>
    <w:rsid w:val="008E1551"/>
    <w:rsid w:val="008E4699"/>
    <w:rsid w:val="008E5498"/>
    <w:rsid w:val="008F0CCA"/>
    <w:rsid w:val="008F6D74"/>
    <w:rsid w:val="009009F5"/>
    <w:rsid w:val="00900EC3"/>
    <w:rsid w:val="009028FD"/>
    <w:rsid w:val="00903171"/>
    <w:rsid w:val="00904895"/>
    <w:rsid w:val="00910386"/>
    <w:rsid w:val="00911C9D"/>
    <w:rsid w:val="00916A55"/>
    <w:rsid w:val="00921643"/>
    <w:rsid w:val="009229BB"/>
    <w:rsid w:val="00925E6E"/>
    <w:rsid w:val="0093158B"/>
    <w:rsid w:val="00931662"/>
    <w:rsid w:val="00931A14"/>
    <w:rsid w:val="00931D22"/>
    <w:rsid w:val="00935A9D"/>
    <w:rsid w:val="0093703F"/>
    <w:rsid w:val="00937476"/>
    <w:rsid w:val="0094024F"/>
    <w:rsid w:val="009413DE"/>
    <w:rsid w:val="00941888"/>
    <w:rsid w:val="00942245"/>
    <w:rsid w:val="00943B80"/>
    <w:rsid w:val="00945547"/>
    <w:rsid w:val="00951D5C"/>
    <w:rsid w:val="009535A6"/>
    <w:rsid w:val="0096207C"/>
    <w:rsid w:val="0096592E"/>
    <w:rsid w:val="009739DF"/>
    <w:rsid w:val="00975BA7"/>
    <w:rsid w:val="00976A54"/>
    <w:rsid w:val="00981BE1"/>
    <w:rsid w:val="009825FE"/>
    <w:rsid w:val="00982BD5"/>
    <w:rsid w:val="00985F94"/>
    <w:rsid w:val="00996998"/>
    <w:rsid w:val="00996AB5"/>
    <w:rsid w:val="009A1AB4"/>
    <w:rsid w:val="009A4809"/>
    <w:rsid w:val="009A7377"/>
    <w:rsid w:val="009B4D27"/>
    <w:rsid w:val="009C14CB"/>
    <w:rsid w:val="009C779C"/>
    <w:rsid w:val="009D0701"/>
    <w:rsid w:val="009D2534"/>
    <w:rsid w:val="009E018C"/>
    <w:rsid w:val="009E1304"/>
    <w:rsid w:val="009E21AE"/>
    <w:rsid w:val="009E50F0"/>
    <w:rsid w:val="009E5860"/>
    <w:rsid w:val="009E5A5E"/>
    <w:rsid w:val="009E7C68"/>
    <w:rsid w:val="00A024AE"/>
    <w:rsid w:val="00A10529"/>
    <w:rsid w:val="00A12990"/>
    <w:rsid w:val="00A1381B"/>
    <w:rsid w:val="00A14CB0"/>
    <w:rsid w:val="00A1656F"/>
    <w:rsid w:val="00A20E8A"/>
    <w:rsid w:val="00A259C5"/>
    <w:rsid w:val="00A265B9"/>
    <w:rsid w:val="00A26CB7"/>
    <w:rsid w:val="00A2702B"/>
    <w:rsid w:val="00A27FFC"/>
    <w:rsid w:val="00A37E6E"/>
    <w:rsid w:val="00A41B72"/>
    <w:rsid w:val="00A46F54"/>
    <w:rsid w:val="00A47E5A"/>
    <w:rsid w:val="00A508ED"/>
    <w:rsid w:val="00A511FC"/>
    <w:rsid w:val="00A51D5B"/>
    <w:rsid w:val="00A52C1F"/>
    <w:rsid w:val="00A55D3C"/>
    <w:rsid w:val="00A57161"/>
    <w:rsid w:val="00A61D56"/>
    <w:rsid w:val="00A634A7"/>
    <w:rsid w:val="00A6390E"/>
    <w:rsid w:val="00A64D3D"/>
    <w:rsid w:val="00A655CF"/>
    <w:rsid w:val="00A70188"/>
    <w:rsid w:val="00A7351A"/>
    <w:rsid w:val="00A74D72"/>
    <w:rsid w:val="00A760C1"/>
    <w:rsid w:val="00A7739D"/>
    <w:rsid w:val="00A82E9C"/>
    <w:rsid w:val="00A82FA6"/>
    <w:rsid w:val="00A833D9"/>
    <w:rsid w:val="00A835B1"/>
    <w:rsid w:val="00A84F3A"/>
    <w:rsid w:val="00A91B72"/>
    <w:rsid w:val="00A937E9"/>
    <w:rsid w:val="00A97F36"/>
    <w:rsid w:val="00AA2FC1"/>
    <w:rsid w:val="00AA474F"/>
    <w:rsid w:val="00AA6FD5"/>
    <w:rsid w:val="00AA7F25"/>
    <w:rsid w:val="00AB2E4E"/>
    <w:rsid w:val="00AB3B55"/>
    <w:rsid w:val="00AB7472"/>
    <w:rsid w:val="00AC0ED1"/>
    <w:rsid w:val="00AC1D32"/>
    <w:rsid w:val="00AC6E33"/>
    <w:rsid w:val="00AD0002"/>
    <w:rsid w:val="00AD2A69"/>
    <w:rsid w:val="00AD4AAC"/>
    <w:rsid w:val="00AD5F23"/>
    <w:rsid w:val="00AD5F97"/>
    <w:rsid w:val="00AE2013"/>
    <w:rsid w:val="00AE55A4"/>
    <w:rsid w:val="00AF098E"/>
    <w:rsid w:val="00AF16CC"/>
    <w:rsid w:val="00AF3187"/>
    <w:rsid w:val="00AF5C75"/>
    <w:rsid w:val="00B0593A"/>
    <w:rsid w:val="00B10081"/>
    <w:rsid w:val="00B11CA4"/>
    <w:rsid w:val="00B11FEE"/>
    <w:rsid w:val="00B133F3"/>
    <w:rsid w:val="00B2193F"/>
    <w:rsid w:val="00B21A3D"/>
    <w:rsid w:val="00B277C9"/>
    <w:rsid w:val="00B35682"/>
    <w:rsid w:val="00B35C7E"/>
    <w:rsid w:val="00B40A4B"/>
    <w:rsid w:val="00B40BF0"/>
    <w:rsid w:val="00B4144D"/>
    <w:rsid w:val="00B431ED"/>
    <w:rsid w:val="00B45169"/>
    <w:rsid w:val="00B46CDA"/>
    <w:rsid w:val="00B50F12"/>
    <w:rsid w:val="00B529D7"/>
    <w:rsid w:val="00B53647"/>
    <w:rsid w:val="00B55976"/>
    <w:rsid w:val="00B55C52"/>
    <w:rsid w:val="00B602F6"/>
    <w:rsid w:val="00B6283E"/>
    <w:rsid w:val="00B702F5"/>
    <w:rsid w:val="00B8225F"/>
    <w:rsid w:val="00B82894"/>
    <w:rsid w:val="00B830CC"/>
    <w:rsid w:val="00B86988"/>
    <w:rsid w:val="00B8734F"/>
    <w:rsid w:val="00B87E7C"/>
    <w:rsid w:val="00B911B3"/>
    <w:rsid w:val="00B9163B"/>
    <w:rsid w:val="00B92454"/>
    <w:rsid w:val="00B924FC"/>
    <w:rsid w:val="00B950F8"/>
    <w:rsid w:val="00B95638"/>
    <w:rsid w:val="00B95A6E"/>
    <w:rsid w:val="00B95BCF"/>
    <w:rsid w:val="00BB0E38"/>
    <w:rsid w:val="00BB463D"/>
    <w:rsid w:val="00BD2B03"/>
    <w:rsid w:val="00BD699F"/>
    <w:rsid w:val="00BE10DD"/>
    <w:rsid w:val="00BE1E17"/>
    <w:rsid w:val="00BE23F1"/>
    <w:rsid w:val="00BE5E89"/>
    <w:rsid w:val="00BE6AF1"/>
    <w:rsid w:val="00BE74B0"/>
    <w:rsid w:val="00BF0C57"/>
    <w:rsid w:val="00BF4DCC"/>
    <w:rsid w:val="00BF6ACC"/>
    <w:rsid w:val="00C03B6E"/>
    <w:rsid w:val="00C073E7"/>
    <w:rsid w:val="00C10C6A"/>
    <w:rsid w:val="00C13ABB"/>
    <w:rsid w:val="00C208AD"/>
    <w:rsid w:val="00C21B70"/>
    <w:rsid w:val="00C22745"/>
    <w:rsid w:val="00C23817"/>
    <w:rsid w:val="00C256CC"/>
    <w:rsid w:val="00C25CA6"/>
    <w:rsid w:val="00C27A61"/>
    <w:rsid w:val="00C34193"/>
    <w:rsid w:val="00C37E57"/>
    <w:rsid w:val="00C4052F"/>
    <w:rsid w:val="00C40AEF"/>
    <w:rsid w:val="00C4147B"/>
    <w:rsid w:val="00C433D5"/>
    <w:rsid w:val="00C44157"/>
    <w:rsid w:val="00C44DFB"/>
    <w:rsid w:val="00C5063C"/>
    <w:rsid w:val="00C514DD"/>
    <w:rsid w:val="00C53196"/>
    <w:rsid w:val="00C55B4E"/>
    <w:rsid w:val="00C56524"/>
    <w:rsid w:val="00C619A4"/>
    <w:rsid w:val="00C6408C"/>
    <w:rsid w:val="00C65395"/>
    <w:rsid w:val="00C66209"/>
    <w:rsid w:val="00C66248"/>
    <w:rsid w:val="00C6649A"/>
    <w:rsid w:val="00C67869"/>
    <w:rsid w:val="00C716C0"/>
    <w:rsid w:val="00C773B0"/>
    <w:rsid w:val="00C83BAB"/>
    <w:rsid w:val="00C84B6A"/>
    <w:rsid w:val="00C86414"/>
    <w:rsid w:val="00C8749F"/>
    <w:rsid w:val="00C87986"/>
    <w:rsid w:val="00C913DA"/>
    <w:rsid w:val="00C91D49"/>
    <w:rsid w:val="00C95883"/>
    <w:rsid w:val="00C959E0"/>
    <w:rsid w:val="00C962C3"/>
    <w:rsid w:val="00C967BB"/>
    <w:rsid w:val="00C97EED"/>
    <w:rsid w:val="00CA02FA"/>
    <w:rsid w:val="00CA1254"/>
    <w:rsid w:val="00CA14B5"/>
    <w:rsid w:val="00CA2659"/>
    <w:rsid w:val="00CA67BE"/>
    <w:rsid w:val="00CB539D"/>
    <w:rsid w:val="00CB57FD"/>
    <w:rsid w:val="00CB690A"/>
    <w:rsid w:val="00CB7F26"/>
    <w:rsid w:val="00CC0FCB"/>
    <w:rsid w:val="00CC3934"/>
    <w:rsid w:val="00CC46AF"/>
    <w:rsid w:val="00CC5A27"/>
    <w:rsid w:val="00CC5A87"/>
    <w:rsid w:val="00CC63C8"/>
    <w:rsid w:val="00CC7192"/>
    <w:rsid w:val="00CC7650"/>
    <w:rsid w:val="00CD1B0A"/>
    <w:rsid w:val="00CD216F"/>
    <w:rsid w:val="00CD51D7"/>
    <w:rsid w:val="00CD5328"/>
    <w:rsid w:val="00CD5FAC"/>
    <w:rsid w:val="00CD6A57"/>
    <w:rsid w:val="00CD6E38"/>
    <w:rsid w:val="00CE040D"/>
    <w:rsid w:val="00CE29AD"/>
    <w:rsid w:val="00CE34A6"/>
    <w:rsid w:val="00CE4416"/>
    <w:rsid w:val="00CE6261"/>
    <w:rsid w:val="00CF0B8F"/>
    <w:rsid w:val="00CF3CB0"/>
    <w:rsid w:val="00CF73C0"/>
    <w:rsid w:val="00D01A4A"/>
    <w:rsid w:val="00D04B48"/>
    <w:rsid w:val="00D05011"/>
    <w:rsid w:val="00D05DE6"/>
    <w:rsid w:val="00D06253"/>
    <w:rsid w:val="00D10EA8"/>
    <w:rsid w:val="00D129CC"/>
    <w:rsid w:val="00D13C68"/>
    <w:rsid w:val="00D14E6C"/>
    <w:rsid w:val="00D16D19"/>
    <w:rsid w:val="00D16DDE"/>
    <w:rsid w:val="00D17932"/>
    <w:rsid w:val="00D2635C"/>
    <w:rsid w:val="00D3046F"/>
    <w:rsid w:val="00D3059F"/>
    <w:rsid w:val="00D3598D"/>
    <w:rsid w:val="00D36F85"/>
    <w:rsid w:val="00D37AAF"/>
    <w:rsid w:val="00D45517"/>
    <w:rsid w:val="00D46CAE"/>
    <w:rsid w:val="00D47D73"/>
    <w:rsid w:val="00D54682"/>
    <w:rsid w:val="00D557C0"/>
    <w:rsid w:val="00D57443"/>
    <w:rsid w:val="00D631BA"/>
    <w:rsid w:val="00D7388C"/>
    <w:rsid w:val="00D756D4"/>
    <w:rsid w:val="00D7688F"/>
    <w:rsid w:val="00D974E8"/>
    <w:rsid w:val="00D975E3"/>
    <w:rsid w:val="00DA130C"/>
    <w:rsid w:val="00DA1D7B"/>
    <w:rsid w:val="00DA4603"/>
    <w:rsid w:val="00DA6166"/>
    <w:rsid w:val="00DA6FC3"/>
    <w:rsid w:val="00DB4B43"/>
    <w:rsid w:val="00DB568D"/>
    <w:rsid w:val="00DC052D"/>
    <w:rsid w:val="00DC0C8E"/>
    <w:rsid w:val="00DC6227"/>
    <w:rsid w:val="00DC719A"/>
    <w:rsid w:val="00DE0EAF"/>
    <w:rsid w:val="00DE2E04"/>
    <w:rsid w:val="00DE3682"/>
    <w:rsid w:val="00DE7C83"/>
    <w:rsid w:val="00DF026D"/>
    <w:rsid w:val="00DF106E"/>
    <w:rsid w:val="00DF2A6A"/>
    <w:rsid w:val="00DF3412"/>
    <w:rsid w:val="00DF3F15"/>
    <w:rsid w:val="00DF3FF1"/>
    <w:rsid w:val="00E0067C"/>
    <w:rsid w:val="00E06769"/>
    <w:rsid w:val="00E21D34"/>
    <w:rsid w:val="00E23BB8"/>
    <w:rsid w:val="00E2422F"/>
    <w:rsid w:val="00E262DC"/>
    <w:rsid w:val="00E26BB1"/>
    <w:rsid w:val="00E3104F"/>
    <w:rsid w:val="00E369AF"/>
    <w:rsid w:val="00E37347"/>
    <w:rsid w:val="00E4633E"/>
    <w:rsid w:val="00E527C1"/>
    <w:rsid w:val="00E54619"/>
    <w:rsid w:val="00E54C13"/>
    <w:rsid w:val="00E60E03"/>
    <w:rsid w:val="00E72825"/>
    <w:rsid w:val="00E77FFD"/>
    <w:rsid w:val="00E8012C"/>
    <w:rsid w:val="00E821D4"/>
    <w:rsid w:val="00E86C03"/>
    <w:rsid w:val="00E90896"/>
    <w:rsid w:val="00E94C21"/>
    <w:rsid w:val="00E97997"/>
    <w:rsid w:val="00EA2239"/>
    <w:rsid w:val="00EA26C6"/>
    <w:rsid w:val="00EA3173"/>
    <w:rsid w:val="00EA336F"/>
    <w:rsid w:val="00EA354F"/>
    <w:rsid w:val="00EA3F6F"/>
    <w:rsid w:val="00EB0123"/>
    <w:rsid w:val="00EB12F7"/>
    <w:rsid w:val="00EB1A13"/>
    <w:rsid w:val="00EB72CE"/>
    <w:rsid w:val="00EC1E5B"/>
    <w:rsid w:val="00ED175C"/>
    <w:rsid w:val="00ED18BA"/>
    <w:rsid w:val="00ED35A8"/>
    <w:rsid w:val="00ED55E4"/>
    <w:rsid w:val="00EE296F"/>
    <w:rsid w:val="00EF1781"/>
    <w:rsid w:val="00EF3028"/>
    <w:rsid w:val="00EF3E23"/>
    <w:rsid w:val="00EF780D"/>
    <w:rsid w:val="00F000DF"/>
    <w:rsid w:val="00F00E88"/>
    <w:rsid w:val="00F02950"/>
    <w:rsid w:val="00F108C1"/>
    <w:rsid w:val="00F14C9A"/>
    <w:rsid w:val="00F16AD5"/>
    <w:rsid w:val="00F202C7"/>
    <w:rsid w:val="00F20344"/>
    <w:rsid w:val="00F2108F"/>
    <w:rsid w:val="00F25782"/>
    <w:rsid w:val="00F26064"/>
    <w:rsid w:val="00F26293"/>
    <w:rsid w:val="00F27185"/>
    <w:rsid w:val="00F274E4"/>
    <w:rsid w:val="00F37719"/>
    <w:rsid w:val="00F40B28"/>
    <w:rsid w:val="00F412FE"/>
    <w:rsid w:val="00F41DA2"/>
    <w:rsid w:val="00F43AA3"/>
    <w:rsid w:val="00F4421A"/>
    <w:rsid w:val="00F47288"/>
    <w:rsid w:val="00F50045"/>
    <w:rsid w:val="00F50772"/>
    <w:rsid w:val="00F52AB9"/>
    <w:rsid w:val="00F55C79"/>
    <w:rsid w:val="00F572DE"/>
    <w:rsid w:val="00F6092D"/>
    <w:rsid w:val="00F61D4B"/>
    <w:rsid w:val="00F67409"/>
    <w:rsid w:val="00F70C45"/>
    <w:rsid w:val="00F73A4E"/>
    <w:rsid w:val="00F76415"/>
    <w:rsid w:val="00F77AFE"/>
    <w:rsid w:val="00F8006B"/>
    <w:rsid w:val="00F80B59"/>
    <w:rsid w:val="00F812C0"/>
    <w:rsid w:val="00F815FC"/>
    <w:rsid w:val="00F818CE"/>
    <w:rsid w:val="00F8284F"/>
    <w:rsid w:val="00F82D07"/>
    <w:rsid w:val="00F83F8C"/>
    <w:rsid w:val="00F86C6B"/>
    <w:rsid w:val="00F8758C"/>
    <w:rsid w:val="00F9116C"/>
    <w:rsid w:val="00F91E56"/>
    <w:rsid w:val="00F97370"/>
    <w:rsid w:val="00FA0EE4"/>
    <w:rsid w:val="00FA4614"/>
    <w:rsid w:val="00FA4BAC"/>
    <w:rsid w:val="00FB087E"/>
    <w:rsid w:val="00FB3919"/>
    <w:rsid w:val="00FC07C5"/>
    <w:rsid w:val="00FC1632"/>
    <w:rsid w:val="00FC530B"/>
    <w:rsid w:val="00FD73AE"/>
    <w:rsid w:val="00FE1433"/>
    <w:rsid w:val="00FE29BA"/>
    <w:rsid w:val="00FE3028"/>
    <w:rsid w:val="00FE6850"/>
    <w:rsid w:val="00FF0166"/>
    <w:rsid w:val="00FF284C"/>
    <w:rsid w:val="00FF29FD"/>
    <w:rsid w:val="00FF359C"/>
    <w:rsid w:val="00FF7128"/>
    <w:rsid w:val="00FF73CF"/>
    <w:rsid w:val="01D5446B"/>
    <w:rsid w:val="02D91303"/>
    <w:rsid w:val="032C3B19"/>
    <w:rsid w:val="05A67B05"/>
    <w:rsid w:val="069268A9"/>
    <w:rsid w:val="08250066"/>
    <w:rsid w:val="0A890BD4"/>
    <w:rsid w:val="0AC2232A"/>
    <w:rsid w:val="0B6221B8"/>
    <w:rsid w:val="0E451A74"/>
    <w:rsid w:val="108E612D"/>
    <w:rsid w:val="11904A50"/>
    <w:rsid w:val="11AD0C7A"/>
    <w:rsid w:val="12F41988"/>
    <w:rsid w:val="13087D73"/>
    <w:rsid w:val="135F74CD"/>
    <w:rsid w:val="136724A7"/>
    <w:rsid w:val="143751A8"/>
    <w:rsid w:val="17706B7B"/>
    <w:rsid w:val="17C37EEF"/>
    <w:rsid w:val="185A343D"/>
    <w:rsid w:val="189F58D2"/>
    <w:rsid w:val="18D01D97"/>
    <w:rsid w:val="19F35875"/>
    <w:rsid w:val="1AA151DC"/>
    <w:rsid w:val="1ACB0037"/>
    <w:rsid w:val="1ADD5B3C"/>
    <w:rsid w:val="1B896023"/>
    <w:rsid w:val="1BA10C3F"/>
    <w:rsid w:val="1C1461ED"/>
    <w:rsid w:val="1C93403D"/>
    <w:rsid w:val="1EC44D8C"/>
    <w:rsid w:val="1F44012D"/>
    <w:rsid w:val="20D91236"/>
    <w:rsid w:val="216B5A02"/>
    <w:rsid w:val="219E7A8F"/>
    <w:rsid w:val="234B6C24"/>
    <w:rsid w:val="23B8645F"/>
    <w:rsid w:val="23E40E6D"/>
    <w:rsid w:val="23EC1EF0"/>
    <w:rsid w:val="2421547B"/>
    <w:rsid w:val="25C074D8"/>
    <w:rsid w:val="25DE174B"/>
    <w:rsid w:val="26141236"/>
    <w:rsid w:val="287B7C98"/>
    <w:rsid w:val="298C33F8"/>
    <w:rsid w:val="2A273BFC"/>
    <w:rsid w:val="2ADB2872"/>
    <w:rsid w:val="2C260A6C"/>
    <w:rsid w:val="2D2153EB"/>
    <w:rsid w:val="2D261927"/>
    <w:rsid w:val="2D4B04F5"/>
    <w:rsid w:val="2DD37D54"/>
    <w:rsid w:val="2EC955F5"/>
    <w:rsid w:val="2FF43124"/>
    <w:rsid w:val="332550BA"/>
    <w:rsid w:val="33F60371"/>
    <w:rsid w:val="345D7811"/>
    <w:rsid w:val="359A5DF4"/>
    <w:rsid w:val="36746B67"/>
    <w:rsid w:val="37A638E5"/>
    <w:rsid w:val="37C97F1A"/>
    <w:rsid w:val="388D1ACB"/>
    <w:rsid w:val="38AD5DFB"/>
    <w:rsid w:val="39E976FC"/>
    <w:rsid w:val="3A015DF1"/>
    <w:rsid w:val="3AA20944"/>
    <w:rsid w:val="3D071754"/>
    <w:rsid w:val="3D3F4B8C"/>
    <w:rsid w:val="3DC86914"/>
    <w:rsid w:val="3DFB071B"/>
    <w:rsid w:val="40796654"/>
    <w:rsid w:val="417B1D91"/>
    <w:rsid w:val="41813091"/>
    <w:rsid w:val="43887BCE"/>
    <w:rsid w:val="43F70EC6"/>
    <w:rsid w:val="44032243"/>
    <w:rsid w:val="448C21DA"/>
    <w:rsid w:val="449F5BA9"/>
    <w:rsid w:val="44A85E2F"/>
    <w:rsid w:val="461E1134"/>
    <w:rsid w:val="463A0283"/>
    <w:rsid w:val="468862ED"/>
    <w:rsid w:val="46D87012"/>
    <w:rsid w:val="4788534E"/>
    <w:rsid w:val="48A774C4"/>
    <w:rsid w:val="497C1428"/>
    <w:rsid w:val="4A913D35"/>
    <w:rsid w:val="4B696C1F"/>
    <w:rsid w:val="4B901F48"/>
    <w:rsid w:val="4BEB7CD6"/>
    <w:rsid w:val="4CD5199E"/>
    <w:rsid w:val="4D41204C"/>
    <w:rsid w:val="4D451008"/>
    <w:rsid w:val="4E0B6A5E"/>
    <w:rsid w:val="4F6A1DE3"/>
    <w:rsid w:val="4F790D4C"/>
    <w:rsid w:val="4FDB73AC"/>
    <w:rsid w:val="501672D0"/>
    <w:rsid w:val="51187BD0"/>
    <w:rsid w:val="52E21713"/>
    <w:rsid w:val="53F939E9"/>
    <w:rsid w:val="542E00C9"/>
    <w:rsid w:val="542F5A84"/>
    <w:rsid w:val="54941B2B"/>
    <w:rsid w:val="55594581"/>
    <w:rsid w:val="558C732F"/>
    <w:rsid w:val="55B81A32"/>
    <w:rsid w:val="56AF2402"/>
    <w:rsid w:val="57F92673"/>
    <w:rsid w:val="59143622"/>
    <w:rsid w:val="59BE0298"/>
    <w:rsid w:val="59D8373F"/>
    <w:rsid w:val="5A634BEB"/>
    <w:rsid w:val="5B1872DE"/>
    <w:rsid w:val="5B8C1A5C"/>
    <w:rsid w:val="5D9F5C89"/>
    <w:rsid w:val="5DDC0278"/>
    <w:rsid w:val="5ED55BAD"/>
    <w:rsid w:val="5EDC4025"/>
    <w:rsid w:val="5EFE5C27"/>
    <w:rsid w:val="60647713"/>
    <w:rsid w:val="60B37F6D"/>
    <w:rsid w:val="60D433FB"/>
    <w:rsid w:val="61B64525"/>
    <w:rsid w:val="61C36040"/>
    <w:rsid w:val="627C3166"/>
    <w:rsid w:val="63C51921"/>
    <w:rsid w:val="63E24504"/>
    <w:rsid w:val="65F03AF2"/>
    <w:rsid w:val="660C4D08"/>
    <w:rsid w:val="67EF5C0B"/>
    <w:rsid w:val="691C3B5E"/>
    <w:rsid w:val="6997709F"/>
    <w:rsid w:val="69B117F8"/>
    <w:rsid w:val="69F52C7B"/>
    <w:rsid w:val="6A4A781D"/>
    <w:rsid w:val="6A726E57"/>
    <w:rsid w:val="6DBA28C6"/>
    <w:rsid w:val="6E092584"/>
    <w:rsid w:val="6E361204"/>
    <w:rsid w:val="6E614D97"/>
    <w:rsid w:val="6F3B270E"/>
    <w:rsid w:val="6F4E5669"/>
    <w:rsid w:val="728774A4"/>
    <w:rsid w:val="731D6F8C"/>
    <w:rsid w:val="735D1754"/>
    <w:rsid w:val="73C3084A"/>
    <w:rsid w:val="74A80885"/>
    <w:rsid w:val="75883868"/>
    <w:rsid w:val="76831505"/>
    <w:rsid w:val="76C612B1"/>
    <w:rsid w:val="78A56B3A"/>
    <w:rsid w:val="7B144BF0"/>
    <w:rsid w:val="7BCC0BCD"/>
    <w:rsid w:val="7D9B69BA"/>
    <w:rsid w:val="7DD44131"/>
    <w:rsid w:val="7E480853"/>
    <w:rsid w:val="7E932DA2"/>
    <w:rsid w:val="7E9A6012"/>
    <w:rsid w:val="7F432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1"/>
    <w:unhideWhenUsed/>
    <w:qFormat/>
    <w:uiPriority w:val="99"/>
    <w:rPr>
      <w:b/>
      <w:bCs/>
    </w:rPr>
  </w:style>
  <w:style w:type="paragraph" w:styleId="3">
    <w:name w:val="annotation text"/>
    <w:basedOn w:val="1"/>
    <w:link w:val="20"/>
    <w:unhideWhenUsed/>
    <w:qFormat/>
    <w:uiPriority w:val="99"/>
    <w:pPr>
      <w:jc w:val="left"/>
    </w:pPr>
  </w:style>
  <w:style w:type="paragraph" w:styleId="4">
    <w:name w:val="Document Map"/>
    <w:basedOn w:val="1"/>
    <w:link w:val="16"/>
    <w:unhideWhenUsed/>
    <w:qFormat/>
    <w:uiPriority w:val="99"/>
    <w:rPr>
      <w:rFonts w:ascii="宋体" w:eastAsia="宋体"/>
      <w:sz w:val="18"/>
      <w:szCs w:val="18"/>
    </w:rPr>
  </w:style>
  <w:style w:type="paragraph" w:styleId="5">
    <w:name w:val="Balloon Text"/>
    <w:basedOn w:val="1"/>
    <w:link w:val="18"/>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styleId="10">
    <w:name w:val="annotation reference"/>
    <w:basedOn w:val="8"/>
    <w:unhideWhenUsed/>
    <w:qFormat/>
    <w:uiPriority w:val="99"/>
    <w:rPr>
      <w:sz w:val="21"/>
      <w:szCs w:val="21"/>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8"/>
    <w:link w:val="7"/>
    <w:semiHidden/>
    <w:qFormat/>
    <w:uiPriority w:val="99"/>
    <w:rPr>
      <w:sz w:val="18"/>
      <w:szCs w:val="18"/>
    </w:rPr>
  </w:style>
  <w:style w:type="character" w:customStyle="1" w:styleId="14">
    <w:name w:val="页脚 字符"/>
    <w:basedOn w:val="8"/>
    <w:link w:val="6"/>
    <w:qFormat/>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文档结构图 字符"/>
    <w:basedOn w:val="8"/>
    <w:link w:val="4"/>
    <w:semiHidden/>
    <w:qFormat/>
    <w:uiPriority w:val="99"/>
    <w:rPr>
      <w:rFonts w:ascii="宋体" w:eastAsia="宋体"/>
      <w:sz w:val="18"/>
      <w:szCs w:val="18"/>
    </w:rPr>
  </w:style>
  <w:style w:type="table" w:customStyle="1" w:styleId="17">
    <w:name w:val="网格型1"/>
    <w:basedOn w:val="1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批注框文本 字符"/>
    <w:basedOn w:val="8"/>
    <w:link w:val="5"/>
    <w:semiHidden/>
    <w:qFormat/>
    <w:uiPriority w:val="99"/>
    <w:rPr>
      <w:kern w:val="2"/>
      <w:sz w:val="18"/>
      <w:szCs w:val="18"/>
    </w:rPr>
  </w:style>
  <w:style w:type="paragraph" w:customStyle="1" w:styleId="19">
    <w:name w:val="List Paragraph"/>
    <w:basedOn w:val="1"/>
    <w:unhideWhenUsed/>
    <w:qFormat/>
    <w:uiPriority w:val="99"/>
    <w:pPr>
      <w:ind w:firstLine="420" w:firstLineChars="200"/>
    </w:pPr>
  </w:style>
  <w:style w:type="character" w:customStyle="1" w:styleId="20">
    <w:name w:val="批注文字 字符"/>
    <w:basedOn w:val="8"/>
    <w:link w:val="3"/>
    <w:semiHidden/>
    <w:qFormat/>
    <w:uiPriority w:val="99"/>
    <w:rPr>
      <w:kern w:val="2"/>
      <w:sz w:val="21"/>
      <w:szCs w:val="22"/>
    </w:rPr>
  </w:style>
  <w:style w:type="character" w:customStyle="1" w:styleId="21">
    <w:name w:val="批注主题 字符"/>
    <w:basedOn w:val="20"/>
    <w:link w:val="2"/>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9F7A3-2C4B-4B33-B24E-F39CED798632}">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394</Words>
  <Characters>2248</Characters>
  <Lines>18</Lines>
  <Paragraphs>5</Paragraphs>
  <TotalTime>1</TotalTime>
  <ScaleCrop>false</ScaleCrop>
  <LinksUpToDate>false</LinksUpToDate>
  <CharactersWithSpaces>2637</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2019-11-18T09:22:00Z</dcterms:created>
  <dc:creator>宫玮</dc:creator>
  <cp:lastModifiedBy>yang</cp:lastModifiedBy>
  <cp:lastPrinted>2020-06-24T02:55:00Z</cp:lastPrinted>
  <dcterms:modified xsi:type="dcterms:W3CDTF">2020-07-24T02:25:26Z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